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60"/>
      </w:pPr>
      <w:r>
        <w:rPr>
          <w:rFonts w:ascii="Consolas" w:cs="Consolas" w:eastAsia="Consolas" w:hAnsi="Consolas"/>
          <w:color w:val="6F6B63"/>
          <w:spacing w:val="30"/>
          <w:sz w:val="16"/>
          <w:szCs w:val="16"/>
        </w:rPr>
        <w:t xml:space="preserve">INTELLIGENCE MERIDIAN · WORKING DOCUMENT</w:t>
      </w:r>
    </w:p>
    <w:p>
      <w:pPr>
        <w:spacing w:after="120"/>
      </w:pPr>
      <w:r>
        <w:rPr>
          <w:rFonts w:ascii="Georgia" w:cs="Georgia" w:eastAsia="Georgia" w:hAnsi="Georgia"/>
          <w:color w:val="B87A5E"/>
          <w:sz w:val="48"/>
          <w:szCs w:val="48"/>
        </w:rPr>
        <w:t xml:space="preserve">The Companion, for everyone at the table</w:t>
      </w:r>
    </w:p>
    <w:p>
      <w:pPr>
        <w:spacing w:after="60"/>
      </w:pPr>
      <w:r>
        <w:rPr>
          <w:rFonts w:ascii="Georgia" w:cs="Georgia" w:eastAsia="Georgia" w:hAnsi="Georgia"/>
          <w:color w:val="303636"/>
          <w:sz w:val="26"/>
          <w:szCs w:val="26"/>
        </w:rPr>
        <w:t xml:space="preserve">A brainstorming document for Palmer Foote and Arielle Pink</w:t>
      </w:r>
    </w:p>
    <w:p>
      <w:pPr>
        <w:spacing w:after="140" w:line="300"/>
      </w:pPr>
      <w:r>
        <w:rPr>
          <w:rFonts w:ascii="Calibri" w:cs="Calibri" w:eastAsia="Calibri" w:hAnsi="Calibri"/>
          <w:i/>
          <w:iCs/>
          <w:color w:val="6F6B63"/>
          <w:sz w:val="22"/>
          <w:szCs w:val="22"/>
        </w:rPr>
        <w:t xml:space="preserve">Draft 2, 29 September 2026. Folds in the ElderGPT competitive research. Nothing here is decided. The tables have two empty columns on purpose.</w:t>
      </w:r>
    </w:p>
    <w:p>
      <w:pPr>
        <w:pBdr>
          <w:bottom w:val="single" w:color="CFCAC0" w:sz="6" w:space="1"/>
        </w:pBdr>
        <w:spacing w:after="200" w:before="120"/>
      </w:pPr>
    </w:p>
    <w:p>
      <w:pPr>
        <w:pStyle w:val="Heading1"/>
        <w:spacing w:after="160" w:before="420"/>
      </w:pPr>
      <w:r>
        <w:rPr>
          <w:rFonts w:ascii="Georgia" w:cs="Georgia" w:eastAsia="Georgia" w:hAnsi="Georgia"/>
          <w:color w:val="B87A5E"/>
          <w:sz w:val="34"/>
          <w:szCs w:val="34"/>
        </w:rPr>
        <w:t xml:space="preserve">Why this document exists</w:t>
      </w:r>
    </w:p>
    <w:p>
      <w:pPr>
        <w:spacing w:after="140" w:line="300"/>
      </w:pPr>
      <w:r>
        <w:rPr>
          <w:rFonts w:ascii="Calibri" w:cs="Calibri" w:eastAsia="Calibri" w:hAnsi="Calibri"/>
          <w:color w:val="303636"/>
          <w:sz w:val="22"/>
          <w:szCs w:val="22"/>
        </w:rPr>
        <w:t xml:space="preserve">Two pieces of work arrived at the same table from different doors. The Companion is a critical thinking product: a weekly letter, a desk that runs any claim through named moves, and a live mode for the middle of a conversation. The ElderGPT research is a market study of adults 50 and over learning to use AI, with competitors, prices, and a launch plan. Palmer’s read on the second is that the angle is too narrow. The product should reach a much larger audience, with people 50 and over served deliberately inside it rather than named on the door.</w:t>
      </w:r>
    </w:p>
    <w:p>
      <w:pPr>
        <w:spacing w:after="140" w:line="300"/>
      </w:pPr>
      <w:r>
        <w:rPr>
          <w:rFonts w:ascii="Calibri" w:cs="Calibri" w:eastAsia="Calibri" w:hAnsi="Calibri"/>
          <w:color w:val="303636"/>
          <w:sz w:val="22"/>
          <w:szCs w:val="22"/>
        </w:rPr>
        <w:t xml:space="preserve">The research supports that read. AARP’s own language study found 73 percent of adults 50-plus prefer brands that serve all ages over brands aimed only at them, and 66 percent prefer advertising that shows a mix of ages. An intergenerational product is what they are asking for. That is the thread this document pulls on, and it is the part a master’s in education is for: how do two people of different ages learn the same skill at the same time, and how would we know it worked.</w:t>
      </w:r>
    </w:p>
    <w:p>
      <w:pPr>
        <w:spacing w:after="140" w:line="300"/>
      </w:pPr>
      <w:r>
        <w:rPr>
          <w:rFonts w:ascii="Calibri" w:cs="Calibri" w:eastAsia="Calibri" w:hAnsi="Calibri"/>
          <w:b/>
          <w:bCs/>
          <w:color w:val="303636"/>
          <w:sz w:val="22"/>
          <w:szCs w:val="22"/>
        </w:rPr>
        <w:t xml:space="preserve">The one sentence. </w:t>
      </w:r>
      <w:r>
        <w:rPr>
          <w:rFonts w:ascii="Calibri" w:cs="Calibri" w:eastAsia="Calibri" w:hAnsi="Calibri"/>
          <w:color w:val="303636"/>
          <w:sz w:val="22"/>
          <w:szCs w:val="22"/>
        </w:rPr>
        <w:t xml:space="preserve">An app that helps two people of different ages think through the same claim together, using named critical thinking moves, without the app telling either of them who is right.</w:t>
      </w:r>
    </w:p>
    <w:p>
      <w:pPr>
        <w:spacing w:after="140" w:line="300"/>
      </w:pPr>
      <w:r>
        <w:rPr>
          <w:rFonts w:ascii="Calibri" w:cs="Calibri" w:eastAsia="Calibri" w:hAnsi="Calibri"/>
          <w:b/>
          <w:bCs/>
          <w:color w:val="303636"/>
          <w:sz w:val="22"/>
          <w:szCs w:val="22"/>
        </w:rPr>
        <w:t xml:space="preserve">The strategic sentence, from the ElderGPT research, widened. </w:t>
      </w:r>
      <w:r>
        <w:rPr>
          <w:rFonts w:ascii="Calibri" w:cs="Calibri" w:eastAsia="Calibri" w:hAnsi="Calibri"/>
          <w:color w:val="303636"/>
          <w:sz w:val="22"/>
          <w:szCs w:val="22"/>
        </w:rPr>
        <w:t xml:space="preserve">Intelligence Meridian helps people turn what they already know into practical power with AI, and helps them know when not to trust it.</w:t>
      </w:r>
    </w:p>
    <w:p>
      <w:pPr>
        <w:pStyle w:val="Heading1"/>
        <w:spacing w:after="160" w:before="420"/>
      </w:pPr>
      <w:r>
        <w:rPr>
          <w:rFonts w:ascii="Georgia" w:cs="Georgia" w:eastAsia="Georgia" w:hAnsi="Georgia"/>
          <w:color w:val="B87A5E"/>
          <w:sz w:val="34"/>
          <w:szCs w:val="34"/>
        </w:rPr>
        <w:t xml:space="preserve">What exists today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Piece</w:t>
            </w:r>
          </w:p>
        </w:tc>
        <w:tc>
          <w:tcPr>
            <w:tcW w:type="dxa" w:w="716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What it is</w:t>
            </w:r>
          </w:p>
        </w:tc>
      </w:tr>
      <w:tr>
        <w:tc>
          <w:tcPr>
            <w:tcW w:type="dxa" w:w="2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The Companion</w:t>
            </w:r>
          </w:p>
        </w:tc>
        <w:tc>
          <w:tcPr>
            <w:tcW w:type="dxa" w:w="71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 weekly letter on intelligencemeridian.com. One thing worth reading, a short background with the terms, three questions that make the reader write, a forecast scored eight issues later, moderated comments. Free for the first two months. Issue 001 is built and waits on Palmer to publish.</w:t>
            </w:r>
          </w:p>
        </w:tc>
      </w:tr>
      <w:tr>
        <w:tc>
          <w:tcPr>
            <w:tcW w:type="dxa" w:w="2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The glossary</w:t>
            </w:r>
          </w:p>
        </w:tc>
        <w:tc>
          <w:tcPr>
            <w:tcW w:type="dxa" w:w="71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Every term the letter has named, on one page, linked from inside each issue so nothing gets explained twice.</w:t>
            </w:r>
          </w:p>
        </w:tc>
      </w:tr>
      <w:tr>
        <w:tc>
          <w:tcPr>
            <w:tcW w:type="dxa" w:w="2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The Desk</w:t>
            </w:r>
          </w:p>
        </w:tc>
        <w:tc>
          <w:tcPr>
            <w:tcW w:type="dxa" w:w="71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 prototype app. Paste a claim and run it through seven named moves: Restate, Kind of evidence, Incentive, Base rate, Correlation or causation, Falsifiability, Forecast. Each answer is marked R (read) or W (worked out). The count of Ws is the habit being trained.</w:t>
            </w:r>
          </w:p>
        </w:tc>
      </w:tr>
      <w:tr>
        <w:tc>
          <w:tcPr>
            <w:tcW w:type="dxa" w:w="2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Live mode</w:t>
            </w:r>
          </w:p>
        </w:tc>
        <w:tc>
          <w:tcPr>
            <w:tcW w:type="dxa" w:w="71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For the middle of a conversation. Paste what someone said and your own position. The app names the kind of claim, says what would have to be true, points to where it can be checked (with a search query written for you), and writes questions for both sides. It never says who is right.</w:t>
            </w:r>
          </w:p>
        </w:tc>
      </w:tr>
      <w:tr>
        <w:tc>
          <w:tcPr>
            <w:tcW w:type="dxa" w:w="2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Exercises</w:t>
            </w:r>
          </w:p>
        </w:tc>
        <w:tc>
          <w:tcPr>
            <w:tcW w:type="dxa" w:w="71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Twelve named exercises with steps, times and sources, tagged solo or together.</w:t>
            </w:r>
          </w:p>
        </w:tc>
      </w:tr>
      <w:tr>
        <w:tc>
          <w:tcPr>
            <w:tcW w:type="dxa" w:w="2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The origin case</w:t>
            </w:r>
          </w:p>
        </w:tc>
        <w:tc>
          <w:tcPr>
            <w:tcW w:type="dxa" w:w="71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Palmer’s grandfather, an article, and an AI investing platform that had targeted him. Twenty minutes at the table with Perplexity and a notepad. The verdict was his. The same grandfather, asked what he wanted from AI, said he wanted to become a genius in it. Those two moments are the product.</w:t>
            </w:r>
          </w:p>
        </w:tc>
      </w:tr>
      <w:tr>
        <w:tc>
          <w:tcPr>
            <w:tcW w:type="dxa" w:w="2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The ElderGPT research</w:t>
            </w:r>
          </w:p>
        </w:tc>
        <w:tc>
          <w:tcPr>
            <w:tcW w:type="dxa" w:w="71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 competitive landscape, product strategy and ninety day launch plan for an AI confidence coach for adults 50-plus. Its market data, competitor map and concierge-first plan are folded into this document. Its name and its narrow audience are not.</w:t>
            </w:r>
          </w:p>
        </w:tc>
      </w:tr>
    </w:tbl>
    <w:p>
      <w:pPr>
        <w:pStyle w:val="Heading1"/>
        <w:spacing w:after="160" w:before="420"/>
      </w:pPr>
      <w:r>
        <w:rPr>
          <w:rFonts w:ascii="Georgia" w:cs="Georgia" w:eastAsia="Georgia" w:hAnsi="Georgia"/>
          <w:color w:val="B87A5E"/>
          <w:sz w:val="34"/>
          <w:szCs w:val="34"/>
        </w:rPr>
        <w:t xml:space="preserve">What the market research says</w:t>
      </w:r>
    </w:p>
    <w:p>
      <w:pPr>
        <w:spacing w:after="140" w:line="300"/>
      </w:pPr>
      <w:r>
        <w:rPr>
          <w:rFonts w:ascii="Calibri" w:cs="Calibri" w:eastAsia="Calibri" w:hAnsi="Calibri"/>
          <w:color w:val="303636"/>
          <w:sz w:val="22"/>
          <w:szCs w:val="22"/>
        </w:rPr>
        <w:t xml:space="preserve">From the ElderGPT brief, with the two figures we rely on most re-checked against AARP’s pages on 29 September 2026.</w:t>
      </w:r>
    </w:p>
    <w:p>
      <w:pPr>
        <w:pStyle w:val="ListParagraph"/>
        <w:numPr>
          <w:ilvl w:val="0"/>
          <w:numId w:val="2"/>
        </w:numPr>
        <w:spacing w:after="80" w:line="290"/>
      </w:pPr>
      <w:r>
        <w:rPr>
          <w:rFonts w:ascii="Calibri" w:cs="Calibri" w:eastAsia="Calibri" w:hAnsi="Calibri"/>
          <w:b/>
          <w:bCs/>
          <w:color w:val="303636"/>
          <w:sz w:val="22"/>
          <w:szCs w:val="22"/>
        </w:rPr>
        <w:t xml:space="preserve">The hardware is there. </w:t>
      </w:r>
      <w:r>
        <w:rPr>
          <w:rFonts w:ascii="Calibri" w:cs="Calibri" w:eastAsia="Calibri" w:hAnsi="Calibri"/>
          <w:color w:val="303636"/>
          <w:sz w:val="22"/>
          <w:szCs w:val="22"/>
        </w:rPr>
        <w:t xml:space="preserve">AARP reports 90 percent of adults 50-plus own a smartphone and 99 percent own a connected device. The brief reports generative AI use in that group rose to about 30 percent in 2025; 42 percent describe their AI skill as beginner. The gap is confidence and instruction, and it is closing on its own, which means the window for a product that teaches judgment rather than button-pressing is now.</w:t>
      </w:r>
    </w:p>
    <w:p>
      <w:pPr>
        <w:pStyle w:val="ListParagraph"/>
        <w:numPr>
          <w:ilvl w:val="0"/>
          <w:numId w:val="2"/>
        </w:numPr>
        <w:spacing w:after="80" w:line="290"/>
      </w:pPr>
      <w:r>
        <w:rPr>
          <w:rFonts w:ascii="Calibri" w:cs="Calibri" w:eastAsia="Calibri" w:hAnsi="Calibri"/>
          <w:b/>
          <w:bCs/>
          <w:color w:val="303636"/>
          <w:sz w:val="22"/>
          <w:szCs w:val="22"/>
        </w:rPr>
        <w:t xml:space="preserve">Practical value beats "AI education." </w:t>
      </w:r>
      <w:r>
        <w:rPr>
          <w:rFonts w:ascii="Calibri" w:cs="Calibri" w:eastAsia="Calibri" w:hAnsi="Calibri"/>
          <w:color w:val="303636"/>
          <w:sz w:val="22"/>
          <w:szCs w:val="22"/>
        </w:rPr>
        <w:t xml:space="preserve">Older adults respond to AI attached to a job: a bill, a trip, a suspicious email, a family message. The Companion already works this way. Every issue is one real thing to think about, and Live mode runs on whatever was just said at the table.</w:t>
      </w:r>
    </w:p>
    <w:p>
      <w:pPr>
        <w:pStyle w:val="ListParagraph"/>
        <w:numPr>
          <w:ilvl w:val="0"/>
          <w:numId w:val="2"/>
        </w:numPr>
        <w:spacing w:after="80" w:line="290"/>
      </w:pPr>
      <w:r>
        <w:rPr>
          <w:rFonts w:ascii="Calibri" w:cs="Calibri" w:eastAsia="Calibri" w:hAnsi="Calibri"/>
          <w:b/>
          <w:bCs/>
          <w:color w:val="303636"/>
          <w:sz w:val="22"/>
          <w:szCs w:val="22"/>
        </w:rPr>
        <w:t xml:space="preserve">Trust is the product. </w:t>
      </w:r>
      <w:r>
        <w:rPr>
          <w:rFonts w:ascii="Calibri" w:cs="Calibri" w:eastAsia="Calibri" w:hAnsi="Calibri"/>
          <w:color w:val="303636"/>
          <w:sz w:val="22"/>
          <w:szCs w:val="22"/>
        </w:rPr>
        <w:t xml:space="preserve">In the University of Michigan poll cited in the brief, 92 percent of adults 50-plus wanted to know whether information came from a person or an AI, and 46 percent had little or no trust in AI-generated information. A product whose rule is that it never tells you who is right, and always tells you where to check, is built for exactly that audience. Younger users need the same rule for a different reason: they trust the tool too much.</w:t>
      </w:r>
    </w:p>
    <w:p>
      <w:pPr>
        <w:pStyle w:val="ListParagraph"/>
        <w:numPr>
          <w:ilvl w:val="0"/>
          <w:numId w:val="2"/>
        </w:numPr>
        <w:spacing w:after="80" w:line="290"/>
      </w:pPr>
      <w:r>
        <w:rPr>
          <w:rFonts w:ascii="Calibri" w:cs="Calibri" w:eastAsia="Calibri" w:hAnsi="Calibri"/>
          <w:b/>
          <w:bCs/>
          <w:color w:val="303636"/>
          <w:sz w:val="22"/>
          <w:szCs w:val="22"/>
        </w:rPr>
        <w:t xml:space="preserve">Fraud is a hook, not a brand. </w:t>
      </w:r>
      <w:r>
        <w:rPr>
          <w:rFonts w:ascii="Calibri" w:cs="Calibri" w:eastAsia="Calibri" w:hAnsi="Calibri"/>
          <w:color w:val="303636"/>
          <w:sz w:val="22"/>
          <w:szCs w:val="22"/>
        </w:rPr>
        <w:t xml:space="preserve">The Senate Aging Committee figure in the brief, 7.7 billion dollars in reported cybercrime losses among people 60-plus in 2025, is a reason someone downloads the app once. "Learn to check anything" is the reason they keep it. The grandfather case is the fraud hook told as a story about thinking.</w:t>
      </w:r>
    </w:p>
    <w:p>
      <w:pPr>
        <w:pStyle w:val="ListParagraph"/>
        <w:numPr>
          <w:ilvl w:val="0"/>
          <w:numId w:val="2"/>
        </w:numPr>
        <w:spacing w:after="80" w:line="290"/>
      </w:pPr>
      <w:r>
        <w:rPr>
          <w:rFonts w:ascii="Calibri" w:cs="Calibri" w:eastAsia="Calibri" w:hAnsi="Calibri"/>
          <w:b/>
          <w:bCs/>
          <w:color w:val="303636"/>
          <w:sz w:val="22"/>
          <w:szCs w:val="22"/>
        </w:rPr>
        <w:t xml:space="preserve">The audience wants to be treated as everyone. </w:t>
      </w:r>
      <w:r>
        <w:rPr>
          <w:rFonts w:ascii="Calibri" w:cs="Calibri" w:eastAsia="Calibri" w:hAnsi="Calibri"/>
          <w:color w:val="303636"/>
          <w:sz w:val="22"/>
          <w:szCs w:val="22"/>
        </w:rPr>
        <w:t xml:space="preserve">73 percent prefer brands serving all ages. 66 percent prefer mixed-age advertising. AARP warns against "old" and "elderly" and recommends "people 50-plus." That is the case, in their own data, for building for the table rather than for the elder.</w:t>
      </w:r>
    </w:p>
    <w:p>
      <w:pPr>
        <w:pStyle w:val="Heading1"/>
        <w:spacing w:after="160" w:before="420"/>
      </w:pPr>
      <w:r>
        <w:rPr>
          <w:rFonts w:ascii="Georgia" w:cs="Georgia" w:eastAsia="Georgia" w:hAnsi="Georgia"/>
          <w:color w:val="B87A5E"/>
          <w:sz w:val="34"/>
          <w:szCs w:val="34"/>
        </w:rPr>
        <w:t xml:space="preserve">Competitors, and the gap</w:t>
      </w:r>
    </w:p>
    <w:p>
      <w:pPr>
        <w:spacing w:after="140" w:line="300"/>
      </w:pPr>
      <w:r>
        <w:rPr>
          <w:rFonts w:ascii="Calibri" w:cs="Calibri" w:eastAsia="Calibri" w:hAnsi="Calibri"/>
          <w:color w:val="303636"/>
          <w:sz w:val="22"/>
          <w:szCs w:val="22"/>
        </w:rPr>
        <w:t xml:space="preserve">Condensed from the brief’s table. The last column is the one that matters for us.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900"/>
        <w:gridCol w:w="2230"/>
        <w:gridCol w:w="2230"/>
      </w:tblGrid>
      <w:tr>
        <w:trPr>
          <w:tblHeader/>
        </w:trPr>
        <w:tc>
          <w:tcPr>
            <w:tcW w:type="dxa" w:w="200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Who</w:t>
            </w:r>
          </w:p>
        </w:tc>
        <w:tc>
          <w:tcPr>
            <w:tcW w:type="dxa" w:w="290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What they sell</w:t>
            </w:r>
          </w:p>
        </w:tc>
        <w:tc>
          <w:tcPr>
            <w:tcW w:type="dxa" w:w="223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Do they teach checking?</w:t>
            </w:r>
          </w:p>
        </w:tc>
        <w:tc>
          <w:tcPr>
            <w:tcW w:type="dxa" w:w="223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Do they pair generations?</w:t>
            </w:r>
          </w:p>
        </w:tc>
      </w:tr>
      <w:tr>
        <w:tc>
          <w:tcPr>
            <w:tcW w:type="dxa" w:w="2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SeniorGPT</w:t>
            </w:r>
          </w:p>
        </w:tc>
        <w:tc>
          <w:tcPr>
            <w:tcW w:type="dxa" w:w="29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Accessible AI chat: slow voice, big text, caregiver mode.</w:t>
            </w:r>
          </w:p>
        </w:tc>
        <w:tc>
          <w:tcPr>
            <w:tcW w:type="dxa" w:w="223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No. Adapted interface.</w:t>
            </w:r>
          </w:p>
        </w:tc>
        <w:tc>
          <w:tcPr>
            <w:tcW w:type="dxa" w:w="223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Caregiver role only.</w:t>
            </w:r>
          </w:p>
        </w:tc>
      </w:tr>
      <w:tr>
        <w:tc>
          <w:tcPr>
            <w:tcW w:type="dxa" w:w="2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ElderClass</w:t>
            </w:r>
          </w:p>
        </w:tc>
        <w:tc>
          <w:tcPr>
            <w:tcW w:type="dxa" w:w="29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Bite-sized courses for 60-plus, AI basics and safety.</w:t>
            </w:r>
          </w:p>
        </w:tc>
        <w:tc>
          <w:tcPr>
            <w:tcW w:type="dxa" w:w="223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Some safety content, no method.</w:t>
            </w:r>
          </w:p>
        </w:tc>
        <w:tc>
          <w:tcPr>
            <w:tcW w:type="dxa" w:w="223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No.</w:t>
            </w:r>
          </w:p>
        </w:tc>
      </w:tr>
      <w:tr>
        <w:tc>
          <w:tcPr>
            <w:tcW w:type="dxa" w:w="2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GetSetUp, Senior Planet, OpenAI Academy with OATS</w:t>
            </w:r>
          </w:p>
        </w:tc>
        <w:tc>
          <w:tcPr>
            <w:tcW w:type="dxa" w:w="29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Free classes, guides, hotlines, workshops. Huge reach.</w:t>
            </w:r>
          </w:p>
        </w:tc>
        <w:tc>
          <w:tcPr>
            <w:tcW w:type="dxa" w:w="223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Introductory. "What is AI."</w:t>
            </w:r>
          </w:p>
        </w:tc>
        <w:tc>
          <w:tcPr>
            <w:tcW w:type="dxa" w:w="223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No. Peers of the same age.</w:t>
            </w:r>
          </w:p>
        </w:tc>
      </w:tr>
      <w:tr>
        <w:tc>
          <w:tcPr>
            <w:tcW w:type="dxa" w:w="2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Candoo Tech</w:t>
            </w:r>
          </w:p>
        </w:tc>
        <w:tc>
          <w:tcPr>
            <w:tcW w:type="dxa" w:w="29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Human tech support by phone. 80 dollars a session.</w:t>
            </w:r>
          </w:p>
        </w:tc>
        <w:tc>
          <w:tcPr>
            <w:tcW w:type="dxa" w:w="223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No.</w:t>
            </w:r>
          </w:p>
        </w:tc>
        <w:tc>
          <w:tcPr>
            <w:tcW w:type="dxa" w:w="223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Bought by relatives for parents.</w:t>
            </w:r>
          </w:p>
        </w:tc>
      </w:tr>
      <w:tr>
        <w:tc>
          <w:tcPr>
            <w:tcW w:type="dxa" w:w="2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ElliQ, CareTogether, Lisova, Companio, Amara</w:t>
            </w:r>
          </w:p>
        </w:tc>
        <w:tc>
          <w:tcPr>
            <w:tcW w:type="dxa" w:w="29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Companionship, reminders, wellness, family dashboards.</w:t>
            </w:r>
          </w:p>
        </w:tc>
        <w:tc>
          <w:tcPr>
            <w:tcW w:type="dxa" w:w="223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No.</w:t>
            </w:r>
          </w:p>
        </w:tc>
        <w:tc>
          <w:tcPr>
            <w:tcW w:type="dxa" w:w="223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Family as monitor.</w:t>
            </w:r>
          </w:p>
        </w:tc>
      </w:tr>
      <w:tr>
        <w:tc>
          <w:tcPr>
            <w:tcW w:type="dxa" w:w="2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ChatGPT, Gemini, Copilot</w:t>
            </w:r>
          </w:p>
        </w:tc>
        <w:tc>
          <w:tcPr>
            <w:tcW w:type="dxa" w:w="29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tools themselves.</w:t>
            </w:r>
          </w:p>
        </w:tc>
        <w:tc>
          <w:tcPr>
            <w:tcW w:type="dxa" w:w="223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No. They are the thing to be checked.</w:t>
            </w:r>
          </w:p>
        </w:tc>
        <w:tc>
          <w:tcPr>
            <w:tcW w:type="dxa" w:w="223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No.</w:t>
            </w:r>
          </w:p>
        </w:tc>
      </w:tr>
      <w:tr>
        <w:tc>
          <w:tcPr>
            <w:tcW w:type="dxa" w:w="2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The Companion</w:t>
            </w:r>
          </w:p>
        </w:tc>
        <w:tc>
          <w:tcPr>
            <w:tcW w:type="dxa" w:w="29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 method for thinking through any claim, plus a weekly practice.</w:t>
            </w:r>
          </w:p>
        </w:tc>
        <w:tc>
          <w:tcPr>
            <w:tcW w:type="dxa" w:w="223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Yes. Named moves, R or W, forecast and score.</w:t>
            </w:r>
          </w:p>
        </w:tc>
        <w:tc>
          <w:tcPr>
            <w:tcW w:type="dxa" w:w="223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Yes. Both positions on the desk. Both people learners.</w:t>
            </w:r>
          </w:p>
        </w:tc>
      </w:tr>
    </w:tbl>
    <w:p>
      <w:pPr>
        <w:spacing w:after="140" w:line="300"/>
      </w:pPr>
      <w:r>
        <w:rPr>
          <w:rFonts w:ascii="Calibri" w:cs="Calibri" w:eastAsia="Calibri" w:hAnsi="Calibri"/>
          <w:color w:val="303636"/>
          <w:sz w:val="22"/>
          <w:szCs w:val="22"/>
        </w:rPr>
        <w:t xml:space="preserve">The brief’s white space was "AI literacy as personal capability." The Companion narrows it to something no one on that list does: teaching a person, of any age, to check a claim, and giving two people a way to do it together without one of them being the patient. The family layer in every competitor is a caregiver or a monitor. In the Companion the family member is a second learner.</w:t>
      </w:r>
    </w:p>
    <w:p>
      <w:pPr>
        <w:pStyle w:val="Heading1"/>
        <w:spacing w:after="160" w:before="420"/>
      </w:pPr>
      <w:r>
        <w:rPr>
          <w:rFonts w:ascii="Georgia" w:cs="Georgia" w:eastAsia="Georgia" w:hAnsi="Georgia"/>
          <w:color w:val="B87A5E"/>
          <w:sz w:val="34"/>
          <w:szCs w:val="34"/>
        </w:rPr>
        <w:t xml:space="preserve">What the learning research says, in six findings</w:t>
      </w:r>
    </w:p>
    <w:p>
      <w:pPr>
        <w:spacing w:after="140" w:line="300"/>
      </w:pPr>
      <w:r>
        <w:rPr>
          <w:rFonts w:ascii="Calibri" w:cs="Calibri" w:eastAsia="Calibri" w:hAnsi="Calibri"/>
          <w:color w:val="303636"/>
          <w:sz w:val="22"/>
          <w:szCs w:val="22"/>
        </w:rPr>
        <w:t xml:space="preserve">Each one changes a design decision. Sources are at the end.</w:t>
      </w:r>
    </w:p>
    <w:p>
      <w:pPr>
        <w:pStyle w:val="ListParagraph"/>
        <w:numPr>
          <w:ilvl w:val="0"/>
          <w:numId w:val="3"/>
        </w:numPr>
        <w:spacing w:after="80" w:line="290"/>
      </w:pPr>
      <w:r>
        <w:rPr>
          <w:rFonts w:ascii="Calibri" w:cs="Calibri" w:eastAsia="Calibri" w:hAnsi="Calibri"/>
          <w:b/>
          <w:bCs/>
          <w:color w:val="303636"/>
          <w:sz w:val="22"/>
          <w:szCs w:val="22"/>
        </w:rPr>
        <w:t xml:space="preserve">Older adults share more misinformation, and the reason is not that they think worse. </w:t>
      </w:r>
      <w:r>
        <w:rPr>
          <w:rFonts w:ascii="Calibri" w:cs="Calibri" w:eastAsia="Calibri" w:hAnsi="Calibri"/>
          <w:color w:val="303636"/>
          <w:sz w:val="22"/>
          <w:szCs w:val="22"/>
        </w:rPr>
        <w:t xml:space="preserve">In the 2016 election panel (about 1,300 people), 8.5 percent shared any fake news link; 3 percent of 18 to 29 year olds did, 11 percent of people over 65 did. Brashier and Schacter argue older adults categorize true and false headlines well at first glance; the gap comes from weighing relationships over accuracy when sharing, and from being newer to the platforms. Design consequence: the app is remedial for nobody. Both people at the table are missing something different.</w:t>
      </w:r>
    </w:p>
    <w:p>
      <w:pPr>
        <w:pStyle w:val="ListParagraph"/>
        <w:numPr>
          <w:ilvl w:val="0"/>
          <w:numId w:val="3"/>
        </w:numPr>
        <w:spacing w:after="80" w:line="290"/>
      </w:pPr>
      <w:r>
        <w:rPr>
          <w:rFonts w:ascii="Calibri" w:cs="Calibri" w:eastAsia="Calibri" w:hAnsi="Calibri"/>
          <w:b/>
          <w:bCs/>
          <w:color w:val="303636"/>
          <w:sz w:val="22"/>
          <w:szCs w:val="22"/>
        </w:rPr>
        <w:t xml:space="preserve">The move that works is leaving the page. </w:t>
      </w:r>
      <w:r>
        <w:rPr>
          <w:rFonts w:ascii="Calibri" w:cs="Calibri" w:eastAsia="Calibri" w:hAnsi="Calibri"/>
          <w:color w:val="303636"/>
          <w:sz w:val="22"/>
          <w:szCs w:val="22"/>
        </w:rPr>
        <w:t xml:space="preserve">Wineburg and McGrew compared fact checkers, historians and Stanford undergraduates. Fact checkers won by reading laterally: leaving the site within seconds to see what others said about it. On one task all ten fact checkers picked the trustworthy pediatric body; 60 percent of students picked the look-alike advocacy group. Design consequence: the app pushes people off the claim and onto a second tab. That is one lesson for a fourteen year old and a seventy year old.</w:t>
      </w:r>
    </w:p>
    <w:p>
      <w:pPr>
        <w:pStyle w:val="ListParagraph"/>
        <w:numPr>
          <w:ilvl w:val="0"/>
          <w:numId w:val="3"/>
        </w:numPr>
        <w:spacing w:after="80" w:line="290"/>
      </w:pPr>
      <w:r>
        <w:rPr>
          <w:rFonts w:ascii="Calibri" w:cs="Calibri" w:eastAsia="Calibri" w:hAnsi="Calibri"/>
          <w:b/>
          <w:bCs/>
          <w:color w:val="303636"/>
          <w:sz w:val="22"/>
          <w:szCs w:val="22"/>
        </w:rPr>
        <w:t xml:space="preserve">Inoculation games are less proven than their press. </w:t>
      </w:r>
      <w:r>
        <w:rPr>
          <w:rFonts w:ascii="Calibri" w:cs="Calibri" w:eastAsia="Calibri" w:hAnsi="Calibri"/>
          <w:color w:val="303636"/>
          <w:sz w:val="22"/>
          <w:szCs w:val="22"/>
        </w:rPr>
        <w:t xml:space="preserve">A 2025 re-examination of the Bad News game with counterbalanced headline sets found no improvement in telling true from false; participants became more skeptical of everything. Design consequence: we do not train suspicion. We train checking, and we measure discrimination.</w:t>
      </w:r>
    </w:p>
    <w:p>
      <w:pPr>
        <w:pStyle w:val="ListParagraph"/>
        <w:numPr>
          <w:ilvl w:val="0"/>
          <w:numId w:val="3"/>
        </w:numPr>
        <w:spacing w:after="80" w:line="290"/>
      </w:pPr>
      <w:r>
        <w:rPr>
          <w:rFonts w:ascii="Calibri" w:cs="Calibri" w:eastAsia="Calibri" w:hAnsi="Calibri"/>
          <w:b/>
          <w:bCs/>
          <w:color w:val="303636"/>
          <w:sz w:val="22"/>
          <w:szCs w:val="22"/>
        </w:rPr>
        <w:t xml:space="preserve">Critical thinking improves through dialogue, real problems and mentoring. </w:t>
      </w:r>
      <w:r>
        <w:rPr>
          <w:rFonts w:ascii="Calibri" w:cs="Calibri" w:eastAsia="Calibri" w:hAnsi="Calibri"/>
          <w:color w:val="303636"/>
          <w:sz w:val="22"/>
          <w:szCs w:val="22"/>
        </w:rPr>
        <w:t xml:space="preserve">Abrami and colleagues’ meta-analysis found the largest effects where students discussed, worked on authentic problems, and had a mentor. Design consequence: together mode is the product, alone mode is the practice. The older person mentors on some claims and learns on others, and the app lets that switch.</w:t>
      </w:r>
    </w:p>
    <w:p>
      <w:pPr>
        <w:pStyle w:val="ListParagraph"/>
        <w:numPr>
          <w:ilvl w:val="0"/>
          <w:numId w:val="3"/>
        </w:numPr>
        <w:spacing w:after="80" w:line="290"/>
      </w:pPr>
      <w:r>
        <w:rPr>
          <w:rFonts w:ascii="Calibri" w:cs="Calibri" w:eastAsia="Calibri" w:hAnsi="Calibri"/>
          <w:b/>
          <w:bCs/>
          <w:color w:val="303636"/>
          <w:sz w:val="22"/>
          <w:szCs w:val="22"/>
        </w:rPr>
        <w:t xml:space="preserve">Asking people to consider the opposite reduces bias where telling them to be fair does not. </w:t>
      </w:r>
      <w:r>
        <w:rPr>
          <w:rFonts w:ascii="Calibri" w:cs="Calibri" w:eastAsia="Calibri" w:hAnsi="Calibri"/>
          <w:color w:val="303636"/>
          <w:sz w:val="22"/>
          <w:szCs w:val="22"/>
        </w:rPr>
        <w:t xml:space="preserve">Lord, Lepper and Preston, 1984. Design consequence: Live mode already asks both people what would change their mind. That question is the intervention and it is never optional.</w:t>
      </w:r>
    </w:p>
    <w:p>
      <w:pPr>
        <w:pStyle w:val="ListParagraph"/>
        <w:numPr>
          <w:ilvl w:val="0"/>
          <w:numId w:val="3"/>
        </w:numPr>
        <w:spacing w:after="80" w:line="290"/>
      </w:pPr>
      <w:r>
        <w:rPr>
          <w:rFonts w:ascii="Calibri" w:cs="Calibri" w:eastAsia="Calibri" w:hAnsi="Calibri"/>
          <w:b/>
          <w:bCs/>
          <w:color w:val="303636"/>
          <w:sz w:val="22"/>
          <w:szCs w:val="22"/>
        </w:rPr>
        <w:t xml:space="preserve">A number written down and scored later is how people learn whether their confidence means anything. </w:t>
      </w:r>
      <w:r>
        <w:rPr>
          <w:rFonts w:ascii="Calibri" w:cs="Calibri" w:eastAsia="Calibri" w:hAnsi="Calibri"/>
          <w:color w:val="303636"/>
          <w:sz w:val="22"/>
          <w:szCs w:val="22"/>
        </w:rPr>
        <w:t xml:space="preserve">Tetlock. Design consequence: every claim ends in a probability and a date, and the app comes back to score it. For a family, the scoring moment is the conversation two months later.</w:t>
      </w:r>
    </w:p>
    <w:p>
      <w:pPr>
        <w:pStyle w:val="Heading1"/>
        <w:spacing w:after="160" w:before="420"/>
      </w:pPr>
      <w:r>
        <w:rPr>
          <w:rFonts w:ascii="Georgia" w:cs="Georgia" w:eastAsia="Georgia" w:hAnsi="Georgia"/>
          <w:color w:val="B87A5E"/>
          <w:sz w:val="34"/>
          <w:szCs w:val="34"/>
        </w:rPr>
        <w:t xml:space="preserve">Where the two ideas meet</w:t>
      </w:r>
    </w:p>
    <w:p>
      <w:pPr>
        <w:spacing w:after="140" w:line="300"/>
      </w:pPr>
      <w:r>
        <w:rPr>
          <w:rFonts w:ascii="Calibri" w:cs="Calibri" w:eastAsia="Calibri" w:hAnsi="Calibri"/>
          <w:color w:val="303636"/>
          <w:sz w:val="22"/>
          <w:szCs w:val="22"/>
        </w:rPr>
        <w:t xml:space="preserve">The ElderGPT brief and the Companion describe the same product from two ends. Read side by side: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360"/>
      </w:tblGrid>
      <w:tr>
        <w:trPr>
          <w:tblHeader/>
        </w:trPr>
        <w:tc>
          <w:tcPr>
            <w:tcW w:type="dxa" w:w="300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ElderGPT brief</w:t>
            </w:r>
          </w:p>
        </w:tc>
        <w:tc>
          <w:tcPr>
            <w:tcW w:type="dxa" w:w="300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The Companion</w:t>
            </w:r>
          </w:p>
        </w:tc>
        <w:tc>
          <w:tcPr>
            <w:tcW w:type="dxa" w:w="336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What we keep</w:t>
            </w:r>
          </w:p>
        </w:tc>
      </w:tr>
      <w:tr>
        <w:tc>
          <w:tcPr>
            <w:tcW w:type="dxa" w:w="3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 verification habit: ask, inspect, verify, decide.</w:t>
            </w:r>
          </w:p>
        </w:tc>
        <w:tc>
          <w:tcPr>
            <w:tcW w:type="dxa" w:w="3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Seven named moves, with the vocabulary taught in a glossary.</w:t>
            </w:r>
          </w:p>
        </w:tc>
        <w:tc>
          <w:tcPr>
            <w:tcW w:type="dxa" w:w="33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moves. They are the verification habit with names, and names are what make a skill teachable.</w:t>
            </w:r>
          </w:p>
        </w:tc>
      </w:tr>
      <w:tr>
        <w:tc>
          <w:tcPr>
            <w:tcW w:type="dxa" w:w="3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 personal AI Playbook of prompts, rules and wins.</w:t>
            </w:r>
          </w:p>
        </w:tc>
        <w:tc>
          <w:tcPr>
            <w:tcW w:type="dxa" w:w="3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Log: every claim run, with R or W marks and a scored forecast.</w:t>
            </w:r>
          </w:p>
        </w:tc>
        <w:tc>
          <w:tcPr>
            <w:tcW w:type="dxa" w:w="33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Log, renamed if a playbook tests better. It is the progress artifact.</w:t>
            </w:r>
          </w:p>
        </w:tc>
      </w:tr>
      <w:tr>
        <w:tc>
          <w:tcPr>
            <w:tcW w:type="dxa" w:w="3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An AI Ally: a relative who helps set up and cheers on, without surveillance.</w:t>
            </w:r>
          </w:p>
        </w:tc>
        <w:tc>
          <w:tcPr>
            <w:tcW w:type="dxa" w:w="3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table: two people, one claim, both positions on the desk.</w:t>
            </w:r>
          </w:p>
        </w:tc>
        <w:tc>
          <w:tcPr>
            <w:tcW w:type="dxa" w:w="33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table. The ally becomes a second learner. Private by default stays.</w:t>
            </w:r>
          </w:p>
        </w:tc>
      </w:tr>
      <w:tr>
        <w:tc>
          <w:tcPr>
            <w:tcW w:type="dxa" w:w="3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Conversational intake about the learner’s life and work.</w:t>
            </w:r>
          </w:p>
        </w:tc>
        <w:tc>
          <w:tcPr>
            <w:tcW w:type="dxa" w:w="3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Nothing yet. The Desk starts cold.</w:t>
            </w:r>
          </w:p>
        </w:tc>
        <w:tc>
          <w:tcPr>
            <w:tcW w:type="dxa" w:w="33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intake, in Arielle’s hands. It is how a seventy year old’s forty years of knowledge becomes the material.</w:t>
            </w:r>
          </w:p>
        </w:tc>
      </w:tr>
      <w:tr>
        <w:tc>
          <w:tcPr>
            <w:tcW w:type="dxa" w:w="3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Seven-day sprint, concierge-led, before any app.</w:t>
            </w:r>
          </w:p>
        </w:tc>
        <w:tc>
          <w:tcPr>
            <w:tcW w:type="dxa" w:w="3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 weekly letter, already built.</w:t>
            </w:r>
          </w:p>
        </w:tc>
        <w:tc>
          <w:tcPr>
            <w:tcW w:type="dxa" w:w="33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Both. The sprint is onboarding. The letter is what keeps someone after day seven.</w:t>
            </w:r>
          </w:p>
        </w:tc>
      </w:tr>
      <w:tr>
        <w:tc>
          <w:tcPr>
            <w:tcW w:type="dxa" w:w="3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Voice-first, large type, one action per screen.</w:t>
            </w:r>
          </w:p>
        </w:tc>
        <w:tc>
          <w:tcPr>
            <w:tcW w:type="dxa" w:w="3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 designed page built for a laptop.</w:t>
            </w:r>
          </w:p>
        </w:tc>
        <w:tc>
          <w:tcPr>
            <w:tcW w:type="dxa" w:w="33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brief’s accessibility list, verbatim, as build requirements.</w:t>
            </w:r>
          </w:p>
        </w:tc>
      </w:tr>
      <w:tr>
        <w:tc>
          <w:tcPr>
            <w:tcW w:type="dxa" w:w="3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Audience: adults 60-plus and their families.</w:t>
            </w:r>
          </w:p>
        </w:tc>
        <w:tc>
          <w:tcPr>
            <w:tcW w:type="dxa" w:w="30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Audience: curious adults who read past the headline.</w:t>
            </w:r>
          </w:p>
        </w:tc>
        <w:tc>
          <w:tcPr>
            <w:tcW w:type="dxa" w:w="33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Everyone at the table. The 50-plus reader is served deliberately, in the design and the copy, and is never named on the door.</w:t>
            </w:r>
          </w:p>
        </w:tc>
      </w:tr>
    </w:tbl>
    <w:p>
      <w:pPr>
        <w:pStyle w:val="Heading1"/>
        <w:spacing w:after="160" w:before="420"/>
      </w:pPr>
      <w:r>
        <w:rPr>
          <w:rFonts w:ascii="Georgia" w:cs="Georgia" w:eastAsia="Georgia" w:hAnsi="Georgia"/>
          <w:color w:val="B87A5E"/>
          <w:sz w:val="34"/>
          <w:szCs w:val="34"/>
        </w:rPr>
        <w:t xml:space="preserve">Four shapes the product could take</w:t>
      </w:r>
    </w:p>
    <w:p>
      <w:pPr>
        <w:spacing w:after="140" w:line="300"/>
      </w:pPr>
      <w:r>
        <w:rPr>
          <w:rFonts w:ascii="Calibri" w:cs="Calibri" w:eastAsia="Calibri" w:hAnsi="Calibri"/>
          <w:color w:val="303636"/>
          <w:sz w:val="22"/>
          <w:szCs w:val="22"/>
        </w:rPr>
        <w:t xml:space="preserve">We should argue about these in the session and leave with one, or with a sequence.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965"/>
        <w:gridCol w:w="1965"/>
        <w:gridCol w:w="1965"/>
        <w:gridCol w:w="1965"/>
      </w:tblGrid>
      <w:tr>
        <w:trPr>
          <w:tblHeader/>
        </w:trPr>
        <w:tc>
          <w:tcPr>
            <w:tcW w:type="dxa" w:w="150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
            </w:r>
          </w:p>
        </w:tc>
        <w:tc>
          <w:tcPr>
            <w:tcW w:type="dxa" w:w="1965"/>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A. The letter, in an app</w:t>
            </w:r>
          </w:p>
        </w:tc>
        <w:tc>
          <w:tcPr>
            <w:tcW w:type="dxa" w:w="1965"/>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B. The table</w:t>
            </w:r>
          </w:p>
        </w:tc>
        <w:tc>
          <w:tcPr>
            <w:tcW w:type="dxa" w:w="1965"/>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C. The sprint</w:t>
            </w:r>
          </w:p>
        </w:tc>
        <w:tc>
          <w:tcPr>
            <w:tcW w:type="dxa" w:w="1965"/>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D. The classroom</w:t>
            </w:r>
          </w:p>
        </w:tc>
      </w:tr>
      <w:tr>
        <w:tc>
          <w:tcPr>
            <w:tcW w:type="dxa" w:w="15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What it is</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weekly issue, the desk, the exercises and the log, for one person.</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Two phones, one claim. Each answers alone, then side by side, then the questions for the table.</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Seven days, concierge-led, one live onboarding call, daily missions by text, a manually assembled log. No app.</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B with a teacher view: assign a claim, see the class’s R and W counts, run the Steelman swap as a lesson.</w:t>
            </w:r>
          </w:p>
        </w:tc>
      </w:tr>
      <w:tr>
        <w:tc>
          <w:tcPr>
            <w:tcW w:type="dxa" w:w="15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Who it is for</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curious adult.</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 pair who disagree and would like to keep liking each other.</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first ten to twenty learners, of any age, and whoever recruits them.</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Middle and high school. Media literacy and civics teachers.</w:t>
            </w:r>
          </w:p>
        </w:tc>
      </w:tr>
      <w:tr>
        <w:tc>
          <w:tcPr>
            <w:tcW w:type="dxa" w:w="15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Why it could work</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It is what we have. Lowest build cost.</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It is the origin story. No competitor builds for the pair.</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Tests the curriculum, the language and the price with no software risk. The brief’s recommendation.</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Schools buy tools. Arielle knows the buyers and the standards.</w:t>
            </w:r>
          </w:p>
        </w:tc>
      </w:tr>
      <w:tr>
        <w:tc>
          <w:tcPr>
            <w:tcW w:type="dxa" w:w="15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Why it could fail</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Solo apps are abandoned by week three.</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Needs two people to install. Cold start is hard.</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Does not scale and is not an app. Delays the store.</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Procurement is slow. Student data rules add a year.</w:t>
            </w:r>
          </w:p>
        </w:tc>
      </w:tr>
      <w:tr>
        <w:tc>
          <w:tcPr>
            <w:tcW w:type="dxa" w:w="15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What we need</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iOS build, accounts, model costs, subscription.</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 plus pairing and a shared log.</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 landing page, an intake form, a calendar, and evenings.</w:t>
            </w:r>
          </w:p>
        </w:tc>
        <w:tc>
          <w:tcPr>
            <w:tcW w:type="dxa" w:w="1965"/>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B plus a teacher dashboard, rostering, a privacy review.</w:t>
            </w:r>
          </w:p>
        </w:tc>
      </w:tr>
    </w:tbl>
    <w:p>
      <w:pPr>
        <w:spacing w:after="140" w:line="300"/>
      </w:pPr>
      <w:r>
        <w:rPr>
          <w:rFonts w:ascii="Calibri" w:cs="Calibri" w:eastAsia="Calibri" w:hAnsi="Calibri"/>
          <w:i/>
          <w:iCs/>
          <w:color w:val="6F6B63"/>
          <w:sz w:val="22"/>
          <w:szCs w:val="22"/>
        </w:rPr>
        <w:t xml:space="preserve">Palmer’s starting position: B is the product. C is how we learn what B needs before we build it. A is the on-ramp for a person who has not found their partner yet. Arielle’s starting position: to be written in the session.</w:t>
      </w:r>
    </w:p>
    <w:p>
      <w:pPr>
        <w:pStyle w:val="Heading1"/>
        <w:spacing w:after="160" w:before="420"/>
      </w:pPr>
      <w:r>
        <w:rPr>
          <w:rFonts w:ascii="Georgia" w:cs="Georgia" w:eastAsia="Georgia" w:hAnsi="Georgia"/>
          <w:color w:val="B87A5E"/>
          <w:sz w:val="34"/>
          <w:szCs w:val="34"/>
        </w:rPr>
        <w:t xml:space="preserve">A tension to settle in the room</w:t>
      </w:r>
    </w:p>
    <w:p>
      <w:pPr>
        <w:spacing w:after="140" w:line="300"/>
      </w:pPr>
      <w:r>
        <w:rPr>
          <w:rFonts w:ascii="Calibri" w:cs="Calibri" w:eastAsia="Calibri" w:hAnsi="Calibri"/>
          <w:color w:val="303636"/>
          <w:sz w:val="22"/>
          <w:szCs w:val="22"/>
        </w:rPr>
        <w:t xml:space="preserve">The brief says: do not build a native app until at least twenty learners have completed the experience and we can see which interactions need software rather than a person. Palmer wants an app in the App Store. Both are right, in order. The sprint is the pilot. The pilot writes the requirements. The app is what we build from them. What the session has to decide is the date at which "not yet" becomes "now," and what evidence turns it.</w:t>
      </w:r>
    </w:p>
    <w:p>
      <w:pPr>
        <w:pStyle w:val="Heading1"/>
        <w:spacing w:after="160" w:before="420"/>
      </w:pPr>
      <w:r>
        <w:rPr>
          <w:rFonts w:ascii="Georgia" w:cs="Georgia" w:eastAsia="Georgia" w:hAnsi="Georgia"/>
          <w:color w:val="B87A5E"/>
          <w:sz w:val="34"/>
          <w:szCs w:val="34"/>
        </w:rPr>
        <w:t xml:space="preserve">The name</w:t>
      </w:r>
    </w:p>
    <w:p>
      <w:pPr>
        <w:spacing w:after="140" w:line="300"/>
      </w:pPr>
      <w:r>
        <w:rPr>
          <w:rFonts w:ascii="Calibri" w:cs="Calibri" w:eastAsia="Calibri" w:hAnsi="Calibri"/>
          <w:color w:val="303636"/>
          <w:sz w:val="22"/>
          <w:szCs w:val="22"/>
        </w:rPr>
        <w:t xml:space="preserve">ElderGPT stays a working title and does not survive to the store. The brief found an open source project already using the name, a cognitive screening project using Elder-ChatGPT, and SeniorGPT as a live competitor. "Elder" also cuts against the audience we just chose. The Companion is a name we already own on the site, it belongs to the whole table, and it says what the thing does for the person holding it. Test it against the brief’s alternatives (AI Ahead, Next Chapter AI, The AI Practice, Better With AI) with real people before deciding, and run a trademark search on whichever wins.</w:t>
      </w:r>
    </w:p>
    <w:p>
      <w:pPr>
        <w:pStyle w:val="Heading2"/>
        <w:spacing w:after="100" w:before="280"/>
      </w:pPr>
      <w:r>
        <w:rPr>
          <w:rFonts w:ascii="Georgia" w:cs="Georgia" w:eastAsia="Georgia" w:hAnsi="Georgia"/>
          <w:color w:val="303636"/>
          <w:sz w:val="26"/>
          <w:szCs w:val="26"/>
        </w:rPr>
        <w:t xml:space="preserve">Messaging rules, from AARP via the brief</w:t>
      </w:r>
    </w:p>
    <w:p>
      <w:pPr>
        <w:pStyle w:val="ListParagraph"/>
        <w:numPr>
          <w:ilvl w:val="0"/>
          <w:numId w:val="2"/>
        </w:numPr>
        <w:spacing w:after="80" w:line="290"/>
      </w:pPr>
      <w:r>
        <w:rPr>
          <w:rFonts w:ascii="Calibri" w:cs="Calibri" w:eastAsia="Calibri" w:hAnsi="Calibri"/>
          <w:color w:val="303636"/>
          <w:sz w:val="22"/>
          <w:szCs w:val="22"/>
        </w:rPr>
        <w:t xml:space="preserve">Say experience, knowledge, curiosity and independence. Never "elderly," never "simple enough for grandma," never stock photos of patients.</w:t>
      </w:r>
    </w:p>
    <w:p>
      <w:pPr>
        <w:pStyle w:val="ListParagraph"/>
        <w:numPr>
          <w:ilvl w:val="0"/>
          <w:numId w:val="2"/>
        </w:numPr>
        <w:spacing w:after="80" w:line="290"/>
      </w:pPr>
      <w:r>
        <w:rPr>
          <w:rFonts w:ascii="Calibri" w:cs="Calibri" w:eastAsia="Calibri" w:hAnsi="Calibri"/>
          <w:color w:val="303636"/>
          <w:sz w:val="22"/>
          <w:szCs w:val="22"/>
        </w:rPr>
        <w:t xml:space="preserve">Show a mix of ages in every image. The product is the table.</w:t>
      </w:r>
    </w:p>
    <w:p>
      <w:pPr>
        <w:pStyle w:val="ListParagraph"/>
        <w:numPr>
          <w:ilvl w:val="0"/>
          <w:numId w:val="2"/>
        </w:numPr>
        <w:spacing w:after="80" w:line="290"/>
      </w:pPr>
      <w:r>
        <w:rPr>
          <w:rFonts w:ascii="Calibri" w:cs="Calibri" w:eastAsia="Calibri" w:hAnsi="Calibri"/>
          <w:color w:val="303636"/>
          <w:sz w:val="22"/>
          <w:szCs w:val="22"/>
        </w:rPr>
        <w:t xml:space="preserve">The scam story is a hook. Thinking is the promise.</w:t>
      </w:r>
    </w:p>
    <w:p>
      <w:pPr>
        <w:pStyle w:val="ListParagraph"/>
        <w:numPr>
          <w:ilvl w:val="0"/>
          <w:numId w:val="2"/>
        </w:numPr>
        <w:spacing w:after="80" w:line="290"/>
      </w:pPr>
      <w:r>
        <w:rPr>
          <w:rFonts w:ascii="Calibri" w:cs="Calibri" w:eastAsia="Calibri" w:hAnsi="Calibri"/>
          <w:color w:val="303636"/>
          <w:sz w:val="22"/>
          <w:szCs w:val="22"/>
        </w:rPr>
        <w:t xml:space="preserve">Two lines from the brief worth keeping: "Ask better questions. Get more useful answers." and "Be the person at the table who actually understands AI." The second one is the intergenerational pitch in one sentence, and it works at fourteen and at seventy.</w:t>
      </w:r>
    </w:p>
    <w:p>
      <w:pPr>
        <w:pStyle w:val="Heading1"/>
        <w:spacing w:after="160" w:before="420"/>
      </w:pPr>
      <w:r>
        <w:rPr>
          <w:rFonts w:ascii="Georgia" w:cs="Georgia" w:eastAsia="Georgia" w:hAnsi="Georgia"/>
          <w:color w:val="B87A5E"/>
          <w:sz w:val="34"/>
          <w:szCs w:val="34"/>
        </w:rPr>
        <w:t xml:space="preserve">Questions for Arielle</w:t>
      </w:r>
    </w:p>
    <w:p>
      <w:pPr>
        <w:spacing w:after="140" w:line="300"/>
      </w:pPr>
      <w:r>
        <w:rPr>
          <w:rFonts w:ascii="Calibri" w:cs="Calibri" w:eastAsia="Calibri" w:hAnsi="Calibri"/>
          <w:color w:val="303636"/>
          <w:sz w:val="22"/>
          <w:szCs w:val="22"/>
        </w:rPr>
        <w:t xml:space="preserve">The ones a designer and a developer cannot answer. Write in the margin, in the table, or over it.</w:t>
      </w:r>
    </w:p>
    <w:p>
      <w:pPr>
        <w:pStyle w:val="Heading2"/>
        <w:spacing w:after="100" w:before="280"/>
      </w:pPr>
      <w:r>
        <w:rPr>
          <w:rFonts w:ascii="Georgia" w:cs="Georgia" w:eastAsia="Georgia" w:hAnsi="Georgia"/>
          <w:color w:val="303636"/>
          <w:sz w:val="26"/>
          <w:szCs w:val="26"/>
        </w:rPr>
        <w:t xml:space="preserve">What are we teaching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2580"/>
        <w:gridCol w:w="2580"/>
      </w:tblGrid>
      <w:tr>
        <w:trPr>
          <w:tblHeader/>
        </w:trPr>
        <w:tc>
          <w:tcPr>
            <w:tcW w:type="dxa" w:w="420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Question</w:t>
            </w:r>
          </w:p>
        </w:tc>
        <w:tc>
          <w:tcPr>
            <w:tcW w:type="dxa" w:w="258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Arielle</w:t>
            </w:r>
          </w:p>
        </w:tc>
        <w:tc>
          <w:tcPr>
            <w:tcW w:type="dxa" w:w="258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Palmer</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If a person uses this for eight weeks, what should they be able to do that they could not do before? Three things, in observable terms.</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seven moves are the curriculum. Which are teachable at twelve, which at seventy, which need a different name for each?</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Is "R or W" a real self-regulation measure or a gimmick? What would you replace it with?</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Where does domain knowledge come in? Willingham argues you cannot think critically about what you know nothing about. How much background does each issue owe the reader, and how does the intake capture what a seventy year old already knows?</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bl>
    <w:p>
      <w:pPr>
        <w:pStyle w:val="Heading2"/>
        <w:spacing w:after="100" w:before="280"/>
      </w:pPr>
      <w:r>
        <w:rPr>
          <w:rFonts w:ascii="Georgia" w:cs="Georgia" w:eastAsia="Georgia" w:hAnsi="Georgia"/>
          <w:color w:val="303636"/>
          <w:sz w:val="26"/>
          <w:szCs w:val="26"/>
        </w:rPr>
        <w:t xml:space="preserve">How would we know it worked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2580"/>
        <w:gridCol w:w="2580"/>
      </w:tblGrid>
      <w:tr>
        <w:trPr>
          <w:tblHeader/>
        </w:trPr>
        <w:tc>
          <w:tcPr>
            <w:tcW w:type="dxa" w:w="420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Question</w:t>
            </w:r>
          </w:p>
        </w:tc>
        <w:tc>
          <w:tcPr>
            <w:tcW w:type="dxa" w:w="258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Arielle</w:t>
            </w:r>
          </w:p>
        </w:tc>
        <w:tc>
          <w:tcPr>
            <w:tcW w:type="dxa" w:w="258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Palmer</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What is the pre and post assessment? A lateral reading task? A discrimination test with true and false headlines? Something you would design?</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What is the measure of a conversation going better? Self report from both people? Something observable in the app?</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brief’s strongest proof point was: after seven days, participants used AI for three real tasks and could explain how they verified an answer. Is that the right bar? What is ours?</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Which outcomes matter to a school, if we ever go to schools?</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bl>
    <w:p>
      <w:pPr>
        <w:pStyle w:val="Heading2"/>
        <w:spacing w:after="100" w:before="280"/>
      </w:pPr>
      <w:r>
        <w:rPr>
          <w:rFonts w:ascii="Georgia" w:cs="Georgia" w:eastAsia="Georgia" w:hAnsi="Georgia"/>
          <w:color w:val="303636"/>
          <w:sz w:val="26"/>
          <w:szCs w:val="26"/>
        </w:rPr>
        <w:t xml:space="preserve">Two ages, one screen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2580"/>
        <w:gridCol w:w="2580"/>
      </w:tblGrid>
      <w:tr>
        <w:trPr>
          <w:tblHeader/>
        </w:trPr>
        <w:tc>
          <w:tcPr>
            <w:tcW w:type="dxa" w:w="420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Question</w:t>
            </w:r>
          </w:p>
        </w:tc>
        <w:tc>
          <w:tcPr>
            <w:tcW w:type="dxa" w:w="258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Arielle</w:t>
            </w:r>
          </w:p>
        </w:tc>
        <w:tc>
          <w:tcPr>
            <w:tcW w:type="dxa" w:w="258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Palmer</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How do you scaffold the same claim for a fourteen year old and a seventy year old without condescending to either?</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When the older person is the expert on the topic and the younger one is the expert on the platform, how does the app let them trade roles?</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brief’s intake asks "what could you talk about for an hour" and "what does your family always call you about." Is that the right intake for a learner of any age? What would you add or cut?</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What does the research on intergenerational learning say about pairing, turn taking, and who leads? What have you seen work?</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Accessibility: voice first, large type, one action per screen. What is non-negotiable for a seventy year old, and does any of it hurt the fourteen year old?</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app refuses to say who is right. Is that pedagogically sound, or does a learner sometimes need the answer?</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bl>
    <w:p>
      <w:pPr>
        <w:pStyle w:val="Heading2"/>
        <w:spacing w:after="100" w:before="280"/>
      </w:pPr>
      <w:r>
        <w:rPr>
          <w:rFonts w:ascii="Georgia" w:cs="Georgia" w:eastAsia="Georgia" w:hAnsi="Georgia"/>
          <w:color w:val="303636"/>
          <w:sz w:val="26"/>
          <w:szCs w:val="26"/>
        </w:rPr>
        <w:t xml:space="preserve">Motivation and habit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2580"/>
        <w:gridCol w:w="2580"/>
      </w:tblGrid>
      <w:tr>
        <w:trPr>
          <w:tblHeader/>
        </w:trPr>
        <w:tc>
          <w:tcPr>
            <w:tcW w:type="dxa" w:w="420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Question</w:t>
            </w:r>
          </w:p>
        </w:tc>
        <w:tc>
          <w:tcPr>
            <w:tcW w:type="dxa" w:w="258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Arielle</w:t>
            </w:r>
          </w:p>
        </w:tc>
        <w:tc>
          <w:tcPr>
            <w:tcW w:type="dxa" w:w="258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Palmer</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Why would a teenager open this on a Tuesday? Why would a grandparent? Why would the adult child in between?</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letter is weekly. The sprint is daily for a week. What does spacing research say about the right rhythm for this skill?</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What makes a person come back to score a forecast two months later?</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bl>
    <w:p>
      <w:pPr>
        <w:pStyle w:val="Heading1"/>
        <w:spacing w:after="160" w:before="420"/>
      </w:pPr>
      <w:r>
        <w:rPr>
          <w:rFonts w:ascii="Georgia" w:cs="Georgia" w:eastAsia="Georgia" w:hAnsi="Georgia"/>
          <w:color w:val="B87A5E"/>
          <w:sz w:val="34"/>
          <w:szCs w:val="34"/>
        </w:rPr>
        <w:t xml:space="preserve">Questions for Palmer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2580"/>
        <w:gridCol w:w="2580"/>
      </w:tblGrid>
      <w:tr>
        <w:trPr>
          <w:tblHeader/>
        </w:trPr>
        <w:tc>
          <w:tcPr>
            <w:tcW w:type="dxa" w:w="420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Question</w:t>
            </w:r>
          </w:p>
        </w:tc>
        <w:tc>
          <w:tcPr>
            <w:tcW w:type="dxa" w:w="258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Arielle</w:t>
            </w:r>
          </w:p>
        </w:tc>
        <w:tc>
          <w:tcPr>
            <w:tcW w:type="dxa" w:w="258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Palmer</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What does version 0.1 contain, and what is deliberately left out? The brief’s "avoid initially" list (health monitoring, medication, emergency alerts, cognitive screening, surveillance, proprietary model, hardware) is a good starting no.</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Build path: web app or PWA first, per the brief, then native? Or straight to a cross platform build that ships to both stores? Who writes it?</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model calls cost money per use. Which of the brief’s price points do we test first?</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Where does the data live? A person’s saved claims are personal. Their partner’s answers are more personal. Private by default, deletion controls, no sale of data.</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Minimum age. Thirteen keeps us out of the kids category rules. Is that where we start?</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r>
        <w:tc>
          <w:tcPr>
            <w:tcW w:type="dxa" w:w="4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Who owns what? A company and an educator. In writing, before the first pilot.</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c>
          <w:tcPr>
            <w:tcW w:type="dxa" w:w="258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 </w:t>
            </w:r>
          </w:p>
        </w:tc>
      </w:tr>
    </w:tbl>
    <w:p>
      <w:pPr>
        <w:pStyle w:val="Heading1"/>
        <w:spacing w:after="160" w:before="420"/>
      </w:pPr>
      <w:r>
        <w:rPr>
          <w:rFonts w:ascii="Georgia" w:cs="Georgia" w:eastAsia="Georgia" w:hAnsi="Georgia"/>
          <w:color w:val="B87A5E"/>
          <w:sz w:val="34"/>
          <w:szCs w:val="34"/>
        </w:rPr>
        <w:t xml:space="preserve">Price points from the brief, untested</w:t>
      </w:r>
    </w:p>
    <w:p>
      <w:pPr>
        <w:spacing w:after="140" w:line="300"/>
      </w:pPr>
      <w:r>
        <w:rPr>
          <w:rFonts w:ascii="Calibri" w:cs="Calibri" w:eastAsia="Calibri" w:hAnsi="Calibri"/>
          <w:color w:val="303636"/>
          <w:sz w:val="22"/>
          <w:szCs w:val="22"/>
        </w:rPr>
        <w:t xml:space="preserve">None of these has been shown to a customer. They are the brief’s estimates and a starting point for the session.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200"/>
        <w:gridCol w:w="3760"/>
      </w:tblGrid>
      <w:tr>
        <w:trPr>
          <w:tblHeader/>
        </w:trPr>
        <w:tc>
          <w:tcPr>
            <w:tcW w:type="dxa" w:w="240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Offer</w:t>
            </w:r>
          </w:p>
        </w:tc>
        <w:tc>
          <w:tcPr>
            <w:tcW w:type="dxa" w:w="320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Price signal</w:t>
            </w:r>
          </w:p>
        </w:tc>
        <w:tc>
          <w:tcPr>
            <w:tcW w:type="dxa" w:w="376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Who buys</w:t>
            </w:r>
          </w:p>
        </w:tc>
      </w:tr>
      <w:tr>
        <w:tc>
          <w:tcPr>
            <w:tcW w:type="dxa" w:w="24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Founding sprint</w:t>
            </w:r>
          </w:p>
        </w:tc>
        <w:tc>
          <w:tcPr>
            <w:tcW w:type="dxa" w:w="3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49 to 79 dollars per learner</w:t>
            </w:r>
          </w:p>
        </w:tc>
        <w:tc>
          <w:tcPr>
            <w:tcW w:type="dxa" w:w="37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 curious adult, or an adult child buying it for a parent</w:t>
            </w:r>
          </w:p>
        </w:tc>
      </w:tr>
      <w:tr>
        <w:tc>
          <w:tcPr>
            <w:tcW w:type="dxa" w:w="24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Assisted sprint</w:t>
            </w:r>
          </w:p>
        </w:tc>
        <w:tc>
          <w:tcPr>
            <w:tcW w:type="dxa" w:w="3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149 to 249 dollars, two live sessions</w:t>
            </w:r>
          </w:p>
        </w:tc>
        <w:tc>
          <w:tcPr>
            <w:tcW w:type="dxa" w:w="37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Same, wanting a person on the call</w:t>
            </w:r>
          </w:p>
        </w:tc>
      </w:tr>
      <w:tr>
        <w:tc>
          <w:tcPr>
            <w:tcW w:type="dxa" w:w="24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Pair</w:t>
            </w:r>
          </w:p>
        </w:tc>
        <w:tc>
          <w:tcPr>
            <w:tcW w:type="dxa" w:w="3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199 to 299 dollars for two people</w:t>
            </w:r>
          </w:p>
        </w:tc>
        <w:tc>
          <w:tcPr>
            <w:tcW w:type="dxa" w:w="37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table. This is the one to watch.</w:t>
            </w:r>
          </w:p>
        </w:tc>
      </w:tr>
      <w:tr>
        <w:tc>
          <w:tcPr>
            <w:tcW w:type="dxa" w:w="24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Membership</w:t>
            </w:r>
          </w:p>
        </w:tc>
        <w:tc>
          <w:tcPr>
            <w:tcW w:type="dxa" w:w="3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12 to 19 dollars a month solo, 24 to 39 for a pair</w:t>
            </w:r>
          </w:p>
        </w:tc>
        <w:tc>
          <w:tcPr>
            <w:tcW w:type="dxa" w:w="37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After the sprint, if people come back</w:t>
            </w:r>
          </w:p>
        </w:tc>
      </w:tr>
      <w:tr>
        <w:tc>
          <w:tcPr>
            <w:tcW w:type="dxa" w:w="24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Gift</w:t>
            </w:r>
          </w:p>
        </w:tc>
        <w:tc>
          <w:tcPr>
            <w:tcW w:type="dxa" w:w="3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149 to 199 dollars for six months plus setup</w:t>
            </w:r>
          </w:p>
        </w:tc>
        <w:tc>
          <w:tcPr>
            <w:tcW w:type="dxa" w:w="37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Birthdays, retirements, the holidays</w:t>
            </w:r>
          </w:p>
        </w:tc>
      </w:tr>
      <w:tr>
        <w:tc>
          <w:tcPr>
            <w:tcW w:type="dxa" w:w="24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Organizations</w:t>
            </w:r>
          </w:p>
        </w:tc>
        <w:tc>
          <w:tcPr>
            <w:tcW w:type="dxa" w:w="3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1,500 to 5,000 dollars per cohort as a service</w:t>
            </w:r>
          </w:p>
        </w:tc>
        <w:tc>
          <w:tcPr>
            <w:tcW w:type="dxa" w:w="37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Libraries, senior centers, later schools</w:t>
            </w:r>
          </w:p>
        </w:tc>
      </w:tr>
    </w:tbl>
    <w:p>
      <w:pPr>
        <w:spacing w:after="140" w:line="300"/>
      </w:pPr>
      <w:r>
        <w:rPr>
          <w:rFonts w:ascii="Calibri" w:cs="Calibri" w:eastAsia="Calibri" w:hAnsi="Calibri"/>
          <w:i/>
          <w:iCs/>
          <w:color w:val="6F6B63"/>
          <w:sz w:val="22"/>
          <w:szCs w:val="22"/>
        </w:rPr>
        <w:t xml:space="preserve">Competitor anchors from the brief: Candoo Tech charges 80 dollars a session and 240 a year; CareTogether starts at 24.99 a month; Lisova at 19.99; ElliQ at 249 setup plus 39 to 59 a month.</w:t>
      </w:r>
    </w:p>
    <w:p>
      <w:pPr>
        <w:pStyle w:val="Heading1"/>
        <w:spacing w:after="160" w:before="420"/>
      </w:pPr>
      <w:r>
        <w:rPr>
          <w:rFonts w:ascii="Georgia" w:cs="Georgia" w:eastAsia="Georgia" w:hAnsi="Georgia"/>
          <w:color w:val="B87A5E"/>
          <w:sz w:val="34"/>
          <w:szCs w:val="34"/>
        </w:rPr>
        <w:t xml:space="preserve">The pilot, merged</w:t>
      </w:r>
    </w:p>
    <w:p>
      <w:pPr>
        <w:spacing w:after="140" w:line="300"/>
      </w:pPr>
      <w:r>
        <w:rPr>
          <w:rFonts w:ascii="Calibri" w:cs="Calibri" w:eastAsia="Calibri" w:hAnsi="Calibri"/>
          <w:color w:val="303636"/>
          <w:sz w:val="22"/>
          <w:szCs w:val="22"/>
        </w:rPr>
        <w:t xml:space="preserve">The brief’s concierge plan and the Companion’s family pilot are the same six weeks. A sketch for Arielle to correct.</w:t>
      </w:r>
    </w:p>
    <w:p>
      <w:pPr>
        <w:pStyle w:val="ListParagraph"/>
        <w:numPr>
          <w:ilvl w:val="0"/>
          <w:numId w:val="2"/>
        </w:numPr>
        <w:spacing w:after="80" w:line="290"/>
      </w:pPr>
      <w:r>
        <w:rPr>
          <w:rFonts w:ascii="Calibri" w:cs="Calibri" w:eastAsia="Calibri" w:hAnsi="Calibri"/>
          <w:b/>
          <w:bCs/>
          <w:color w:val="303636"/>
          <w:sz w:val="22"/>
          <w:szCs w:val="22"/>
        </w:rPr>
        <w:t xml:space="preserve">Who. </w:t>
      </w:r>
      <w:r>
        <w:rPr>
          <w:rFonts w:ascii="Calibri" w:cs="Calibri" w:eastAsia="Calibri" w:hAnsi="Calibri"/>
          <w:color w:val="303636"/>
          <w:sz w:val="22"/>
          <w:szCs w:val="22"/>
        </w:rPr>
        <w:t xml:space="preserve">Ten to twenty people, recruited as pairs where possible: the grandfather and his circle, our own families, Intelligence Meridian contacts and their parents, one library or senior center, one teacher Arielle trusts. Every pair spans a generation. Charge a real price, even discounted.</w:t>
      </w:r>
    </w:p>
    <w:p>
      <w:pPr>
        <w:pStyle w:val="ListParagraph"/>
        <w:numPr>
          <w:ilvl w:val="0"/>
          <w:numId w:val="2"/>
        </w:numPr>
        <w:spacing w:after="80" w:line="290"/>
      </w:pPr>
      <w:r>
        <w:rPr>
          <w:rFonts w:ascii="Calibri" w:cs="Calibri" w:eastAsia="Calibri" w:hAnsi="Calibri"/>
          <w:b/>
          <w:bCs/>
          <w:color w:val="303636"/>
          <w:sz w:val="22"/>
          <w:szCs w:val="22"/>
        </w:rPr>
        <w:t xml:space="preserve">What they do. </w:t>
      </w:r>
      <w:r>
        <w:rPr>
          <w:rFonts w:ascii="Calibri" w:cs="Calibri" w:eastAsia="Calibri" w:hAnsi="Calibri"/>
          <w:color w:val="303636"/>
          <w:sz w:val="22"/>
          <w:szCs w:val="22"/>
        </w:rPr>
        <w:t xml:space="preserve">A conversational intake, by voice or in person. One live onboarding call for the pair. Then seven days: one mission a day by text, five to ten minutes, each mission one named move on one real claim. After the sprint, the weekly letter, one Live run a week on something one of them brought to the other, and one exercise together on the weekend.</w:t>
      </w:r>
    </w:p>
    <w:p>
      <w:pPr>
        <w:pStyle w:val="ListParagraph"/>
        <w:numPr>
          <w:ilvl w:val="0"/>
          <w:numId w:val="2"/>
        </w:numPr>
        <w:spacing w:after="80" w:line="290"/>
      </w:pPr>
      <w:r>
        <w:rPr>
          <w:rFonts w:ascii="Calibri" w:cs="Calibri" w:eastAsia="Calibri" w:hAnsi="Calibri"/>
          <w:b/>
          <w:bCs/>
          <w:color w:val="303636"/>
          <w:sz w:val="22"/>
          <w:szCs w:val="22"/>
        </w:rPr>
        <w:t xml:space="preserve">What we measure. </w:t>
      </w:r>
      <w:r>
        <w:rPr>
          <w:rFonts w:ascii="Calibri" w:cs="Calibri" w:eastAsia="Calibri" w:hAnsi="Calibri"/>
          <w:color w:val="303636"/>
          <w:sz w:val="22"/>
          <w:szCs w:val="22"/>
        </w:rPr>
        <w:t xml:space="preserve">Before and after: a short lateral reading task and a headline discrimination task, designed by Arielle. During: intake completed without help, first useful task done, day 2, 7 and 30 use, the W count, whether the forecast got written, whether both positions went on the desk, support minutes per learner. After: each person rates the last disputed conversation they had with the other, explains one AI risk in their own words, and says what they would tell a friend the app does. Willingness to pay and referral intent.</w:t>
      </w:r>
    </w:p>
    <w:p>
      <w:pPr>
        <w:pStyle w:val="ListParagraph"/>
        <w:numPr>
          <w:ilvl w:val="0"/>
          <w:numId w:val="2"/>
        </w:numPr>
        <w:spacing w:after="80" w:line="290"/>
      </w:pPr>
      <w:r>
        <w:rPr>
          <w:rFonts w:ascii="Calibri" w:cs="Calibri" w:eastAsia="Calibri" w:hAnsi="Calibri"/>
          <w:b/>
          <w:bCs/>
          <w:color w:val="303636"/>
          <w:sz w:val="22"/>
          <w:szCs w:val="22"/>
        </w:rPr>
        <w:t xml:space="preserve">What we are looking for. </w:t>
      </w:r>
      <w:r>
        <w:rPr>
          <w:rFonts w:ascii="Calibri" w:cs="Calibri" w:eastAsia="Calibri" w:hAnsi="Calibri"/>
          <w:color w:val="303636"/>
          <w:sz w:val="22"/>
          <w:szCs w:val="22"/>
        </w:rPr>
        <w:t xml:space="preserve">Discrimination up without skepticism up. The pair reporting the conversation got easier. And the list of moments where a person had to step in, because that list is the app’s feature list.</w:t>
      </w:r>
    </w:p>
    <w:p>
      <w:pPr>
        <w:pStyle w:val="ListParagraph"/>
        <w:numPr>
          <w:ilvl w:val="0"/>
          <w:numId w:val="2"/>
        </w:numPr>
        <w:spacing w:after="80" w:line="290"/>
      </w:pPr>
      <w:r>
        <w:rPr>
          <w:rFonts w:ascii="Calibri" w:cs="Calibri" w:eastAsia="Calibri" w:hAnsi="Calibri"/>
          <w:b/>
          <w:bCs/>
          <w:color w:val="303636"/>
          <w:sz w:val="22"/>
          <w:szCs w:val="22"/>
        </w:rPr>
        <w:t xml:space="preserve">What we do not claim. </w:t>
      </w:r>
      <w:r>
        <w:rPr>
          <w:rFonts w:ascii="Calibri" w:cs="Calibri" w:eastAsia="Calibri" w:hAnsi="Calibri"/>
          <w:color w:val="303636"/>
          <w:sz w:val="22"/>
          <w:szCs w:val="22"/>
        </w:rPr>
        <w:t xml:space="preserve">No cognitive, health or safety outcomes. The brief is right about that and so is the research.</w:t>
      </w:r>
    </w:p>
    <w:p>
      <w:pPr>
        <w:pStyle w:val="Heading1"/>
        <w:spacing w:after="160" w:before="420"/>
      </w:pPr>
      <w:r>
        <w:rPr>
          <w:rFonts w:ascii="Georgia" w:cs="Georgia" w:eastAsia="Georgia" w:hAnsi="Georgia"/>
          <w:color w:val="B87A5E"/>
          <w:sz w:val="34"/>
          <w:szCs w:val="34"/>
        </w:rPr>
        <w:t xml:space="preserve">The App Store, plainly</w:t>
      </w:r>
    </w:p>
    <w:p>
      <w:pPr>
        <w:spacing w:after="140" w:line="300"/>
      </w:pPr>
      <w:r>
        <w:rPr>
          <w:rFonts w:ascii="Calibri" w:cs="Calibri" w:eastAsia="Calibri" w:hAnsi="Calibri"/>
          <w:color w:val="303636"/>
          <w:sz w:val="22"/>
          <w:szCs w:val="22"/>
        </w:rPr>
        <w:t xml:space="preserve">None of these has been checked against Apple’s current guidelines in this session. Verify each before committing a date.</w:t>
      </w:r>
    </w:p>
    <w:p>
      <w:pPr>
        <w:pStyle w:val="ListParagraph"/>
        <w:numPr>
          <w:ilvl w:val="0"/>
          <w:numId w:val="2"/>
        </w:numPr>
        <w:spacing w:after="80" w:line="290"/>
      </w:pPr>
      <w:r>
        <w:rPr>
          <w:rFonts w:ascii="Calibri" w:cs="Calibri" w:eastAsia="Calibri" w:hAnsi="Calibri"/>
          <w:color w:val="303636"/>
          <w:sz w:val="22"/>
          <w:szCs w:val="22"/>
        </w:rPr>
        <w:t xml:space="preserve">An age rating is required. Thirteen and up keeps us out of the Kids Category and its data rules.</w:t>
      </w:r>
    </w:p>
    <w:p>
      <w:pPr>
        <w:pStyle w:val="ListParagraph"/>
        <w:numPr>
          <w:ilvl w:val="0"/>
          <w:numId w:val="2"/>
        </w:numPr>
        <w:spacing w:after="80" w:line="290"/>
      </w:pPr>
      <w:r>
        <w:rPr>
          <w:rFonts w:ascii="Calibri" w:cs="Calibri" w:eastAsia="Calibri" w:hAnsi="Calibri"/>
          <w:color w:val="303636"/>
          <w:sz w:val="22"/>
          <w:szCs w:val="22"/>
        </w:rPr>
        <w:t xml:space="preserve">Apps that generate content with a model are reviewed for what that content can be. Ours produces questions and routes to sources. It does not produce claims about people or events. Write that argument down before submission.</w:t>
      </w:r>
    </w:p>
    <w:p>
      <w:pPr>
        <w:pStyle w:val="ListParagraph"/>
        <w:numPr>
          <w:ilvl w:val="0"/>
          <w:numId w:val="2"/>
        </w:numPr>
        <w:spacing w:after="80" w:line="290"/>
      </w:pPr>
      <w:r>
        <w:rPr>
          <w:rFonts w:ascii="Calibri" w:cs="Calibri" w:eastAsia="Calibri" w:hAnsi="Calibri"/>
          <w:color w:val="303636"/>
          <w:sz w:val="22"/>
          <w:szCs w:val="22"/>
        </w:rPr>
        <w:t xml:space="preserve">Subscriptions sold inside the app go through in-app purchase and Apple takes a share. The letter and the sprint can be sold on the website without it; the app cannot link out to them.</w:t>
      </w:r>
    </w:p>
    <w:p>
      <w:pPr>
        <w:pStyle w:val="ListParagraph"/>
        <w:numPr>
          <w:ilvl w:val="0"/>
          <w:numId w:val="2"/>
        </w:numPr>
        <w:spacing w:after="80" w:line="290"/>
      </w:pPr>
      <w:r>
        <w:rPr>
          <w:rFonts w:ascii="Calibri" w:cs="Calibri" w:eastAsia="Calibri" w:hAnsi="Calibri"/>
          <w:color w:val="303636"/>
          <w:sz w:val="22"/>
          <w:szCs w:val="22"/>
        </w:rPr>
        <w:t xml:space="preserve">A privacy label is required and it is public. Decide what we store and never store before the label is written.</w:t>
      </w:r>
    </w:p>
    <w:p>
      <w:pPr>
        <w:pStyle w:val="ListParagraph"/>
        <w:numPr>
          <w:ilvl w:val="0"/>
          <w:numId w:val="2"/>
        </w:numPr>
        <w:spacing w:after="80" w:line="290"/>
      </w:pPr>
      <w:r>
        <w:rPr>
          <w:rFonts w:ascii="Calibri" w:cs="Calibri" w:eastAsia="Calibri" w:hAnsi="Calibri"/>
          <w:color w:val="303636"/>
          <w:sz w:val="22"/>
          <w:szCs w:val="22"/>
        </w:rPr>
        <w:t xml:space="preserve">Review takes days when it goes well and weeks when it does not. The pilot runs on the web build and never waits on it.</w:t>
      </w:r>
    </w:p>
    <w:p>
      <w:pPr>
        <w:pStyle w:val="Heading1"/>
        <w:spacing w:after="160" w:before="420"/>
      </w:pPr>
      <w:r>
        <w:rPr>
          <w:rFonts w:ascii="Georgia" w:cs="Georgia" w:eastAsia="Georgia" w:hAnsi="Georgia"/>
          <w:color w:val="B87A5E"/>
          <w:sz w:val="34"/>
          <w:szCs w:val="34"/>
        </w:rPr>
        <w:t xml:space="preserve">Ninety days, merged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5400"/>
        <w:gridCol w:w="2760"/>
      </w:tblGrid>
      <w:tr>
        <w:trPr>
          <w:tblHeader/>
        </w:trPr>
        <w:tc>
          <w:tcPr>
            <w:tcW w:type="dxa" w:w="120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Days</w:t>
            </w:r>
          </w:p>
        </w:tc>
        <w:tc>
          <w:tcPr>
            <w:tcW w:type="dxa" w:w="540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Do</w:t>
            </w:r>
          </w:p>
        </w:tc>
        <w:tc>
          <w:tcPr>
            <w:tcW w:type="dxa" w:w="276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Leave with</w:t>
            </w:r>
          </w:p>
        </w:tc>
      </w:tr>
      <w:tr>
        <w:tc>
          <w:tcPr>
            <w:tcW w:type="dxa" w:w="1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1 to 14</w:t>
            </w:r>
          </w:p>
        </w:tc>
        <w:tc>
          <w:tcPr>
            <w:tcW w:type="dxa" w:w="54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Ten interviews across ages, five with adult children. Five observed sessions with real claims, one per pair. Test three names with real people. Publish a one-page waitlist on the site. Arielle drafts the two measures.</w:t>
            </w:r>
          </w:p>
        </w:tc>
        <w:tc>
          <w:tcPr>
            <w:tcW w:type="dxa" w:w="27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 name. A measure. A list of every vocabulary and trust failure we saw.</w:t>
            </w:r>
          </w:p>
        </w:tc>
      </w:tr>
      <w:tr>
        <w:tc>
          <w:tcPr>
            <w:tcW w:type="dxa" w:w="1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15 to 35</w:t>
            </w:r>
          </w:p>
        </w:tc>
        <w:tc>
          <w:tcPr>
            <w:tcW w:type="dxa" w:w="54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sprint pilot: ten to twenty learners, real price, intake, one live call, seven daily missions, a manually assembled log. Interview everyone after, pairs together.</w:t>
            </w:r>
          </w:p>
        </w:tc>
        <w:tc>
          <w:tcPr>
            <w:tcW w:type="dxa" w:w="27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moments a person had to step in. That is the requirements list.</w:t>
            </w:r>
          </w:p>
        </w:tc>
      </w:tr>
      <w:tr>
        <w:tc>
          <w:tcPr>
            <w:tcW w:type="dxa" w:w="1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36 to 60</w:t>
            </w:r>
          </w:p>
        </w:tc>
        <w:tc>
          <w:tcPr>
            <w:tcW w:type="dxa" w:w="54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Turn what repeated into modules. Build the mobile prototype: voice and text, large type, one action per screen, pairing that is private by default, simple analytics.</w:t>
            </w:r>
          </w:p>
        </w:tc>
        <w:tc>
          <w:tcPr>
            <w:tcW w:type="dxa" w:w="27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A prototype two real pairs have used for a week.</w:t>
            </w:r>
          </w:p>
        </w:tc>
      </w:tr>
      <w:tr>
        <w:tc>
          <w:tcPr>
            <w:tcW w:type="dxa" w:w="1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61 to 90</w:t>
            </w:r>
          </w:p>
        </w:tc>
        <w:tc>
          <w:tcPr>
            <w:tcW w:type="dxa" w:w="54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Second paid cohort of twenty to thirty. One library or community partner. Three short case studies on concrete outcomes. Open the pair and gift offers. Decide: subscription, cohorts, licensing, or a sequence. Decide the store date.</w:t>
            </w:r>
          </w:p>
        </w:tc>
        <w:tc>
          <w:tcPr>
            <w:tcW w:type="dxa" w:w="27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Retention data, three stories, and a go or no-go on the native build.</w:t>
            </w:r>
          </w:p>
        </w:tc>
      </w:tr>
    </w:tbl>
    <w:p>
      <w:pPr>
        <w:pStyle w:val="Heading1"/>
        <w:spacing w:after="160" w:before="420"/>
      </w:pPr>
      <w:r>
        <w:rPr>
          <w:rFonts w:ascii="Georgia" w:cs="Georgia" w:eastAsia="Georgia" w:hAnsi="Georgia"/>
          <w:color w:val="B87A5E"/>
          <w:sz w:val="34"/>
          <w:szCs w:val="34"/>
        </w:rPr>
        <w:t xml:space="preserve">Roles, as a starting proposal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Person</w:t>
            </w:r>
          </w:p>
        </w:tc>
        <w:tc>
          <w:tcPr>
            <w:tcW w:type="dxa" w:w="7160"/>
            <w:tcBorders>
              <w:top w:val="single" w:color="CFCAC0" w:sz="4"/>
              <w:left w:val="none" w:sz="0"/>
              <w:bottom w:val="single" w:color="CFCAC0" w:sz="4"/>
              <w:right w:val="none" w:sz="0"/>
            </w:tcBorders>
            <w:shd w:fill="ECE9E2" w:color="auto" w:val="clear"/>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Owns</w:t>
            </w:r>
          </w:p>
        </w:tc>
      </w:tr>
      <w:tr>
        <w:tc>
          <w:tcPr>
            <w:tcW w:type="dxa" w:w="2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Arielle</w:t>
            </w:r>
          </w:p>
        </w:tc>
        <w:tc>
          <w:tcPr>
            <w:tcW w:type="dxa" w:w="71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Learning outcomes. The intake. The assessment before and after. Age adaptation of the moves and the copy. The pilot protocol and the interviews. The classroom question, if it comes.</w:t>
            </w:r>
          </w:p>
        </w:tc>
      </w:tr>
      <w:tr>
        <w:tc>
          <w:tcPr>
            <w:tcW w:type="dxa" w:w="2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Palmer</w:t>
            </w:r>
          </w:p>
        </w:tc>
        <w:tc>
          <w:tcPr>
            <w:tcW w:type="dxa" w:w="71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Product and design. The weekly letter. The sprint logistics, the build, the pairing flow, the store submission. The model prompts, with Arielle reviewing what they ask of a learner. Pricing tests.</w:t>
            </w:r>
          </w:p>
        </w:tc>
      </w:tr>
      <w:tr>
        <w:tc>
          <w:tcPr>
            <w:tcW w:type="dxa" w:w="220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bCs/>
                <w:color w:val="303636"/>
                <w:sz w:val="20"/>
                <w:szCs w:val="20"/>
              </w:rPr>
              <w:t xml:space="preserve">Both</w:t>
            </w:r>
          </w:p>
        </w:tc>
        <w:tc>
          <w:tcPr>
            <w:tcW w:type="dxa" w:w="7160"/>
            <w:tcBorders>
              <w:top w:val="single" w:color="CFCAC0" w:sz="4"/>
              <w:left w:val="none" w:sz="0"/>
              <w:bottom w:val="single" w:color="CFCAC0" w:sz="4"/>
              <w:right w:val="none" w:sz="0"/>
            </w:tcBorders>
            <w:tcMar>
              <w:top w:type="dxa" w:w="90"/>
              <w:left w:type="dxa" w:w="120"/>
              <w:bottom w:type="dxa" w:w="90"/>
              <w:right w:type="dxa" w:w="120"/>
            </w:tcMar>
          </w:tcPr>
          <w:p>
            <w:pPr>
              <w:spacing w:after="40"/>
            </w:pPr>
            <w:r>
              <w:rPr>
                <w:rFonts w:ascii="Calibri" w:cs="Calibri" w:eastAsia="Calibri" w:hAnsi="Calibri"/>
                <w:b w:val="false"/>
                <w:bCs w:val="false"/>
                <w:color w:val="303636"/>
                <w:sz w:val="20"/>
                <w:szCs w:val="20"/>
              </w:rPr>
              <w:t xml:space="preserve">The rule that the app never says who is right. The choice of shape and sequence. The name. The written agreement.</w:t>
            </w:r>
          </w:p>
        </w:tc>
      </w:tr>
    </w:tbl>
    <w:p>
      <w:pPr>
        <w:pStyle w:val="Heading1"/>
        <w:spacing w:after="160" w:before="420"/>
      </w:pPr>
      <w:r>
        <w:rPr>
          <w:rFonts w:ascii="Georgia" w:cs="Georgia" w:eastAsia="Georgia" w:hAnsi="Georgia"/>
          <w:color w:val="B87A5E"/>
          <w:sz w:val="34"/>
          <w:szCs w:val="34"/>
        </w:rPr>
        <w:t xml:space="preserve">Leave the session with these decided</w:t>
      </w:r>
    </w:p>
    <w:p>
      <w:pPr>
        <w:pStyle w:val="ListParagraph"/>
        <w:numPr>
          <w:ilvl w:val="0"/>
          <w:numId w:val="3"/>
        </w:numPr>
        <w:spacing w:after="80" w:line="290"/>
      </w:pPr>
      <w:r>
        <w:rPr>
          <w:rFonts w:ascii="Calibri" w:cs="Calibri" w:eastAsia="Calibri" w:hAnsi="Calibri"/>
          <w:color w:val="303636"/>
          <w:sz w:val="22"/>
          <w:szCs w:val="22"/>
        </w:rPr>
        <w:t xml:space="preserve">The shape, or the sequence: A, B, C, D.</w:t>
      </w:r>
    </w:p>
    <w:p>
      <w:pPr>
        <w:pStyle w:val="ListParagraph"/>
        <w:numPr>
          <w:ilvl w:val="0"/>
          <w:numId w:val="3"/>
        </w:numPr>
        <w:spacing w:after="80" w:line="290"/>
      </w:pPr>
      <w:r>
        <w:rPr>
          <w:rFonts w:ascii="Calibri" w:cs="Calibri" w:eastAsia="Calibri" w:hAnsi="Calibri"/>
          <w:color w:val="303636"/>
          <w:sz w:val="22"/>
          <w:szCs w:val="22"/>
        </w:rPr>
        <w:t xml:space="preserve">The three learning outcomes, in one sentence each.</w:t>
      </w:r>
    </w:p>
    <w:p>
      <w:pPr>
        <w:pStyle w:val="ListParagraph"/>
        <w:numPr>
          <w:ilvl w:val="0"/>
          <w:numId w:val="3"/>
        </w:numPr>
        <w:spacing w:after="80" w:line="290"/>
      </w:pPr>
      <w:r>
        <w:rPr>
          <w:rFonts w:ascii="Calibri" w:cs="Calibri" w:eastAsia="Calibri" w:hAnsi="Calibri"/>
          <w:color w:val="303636"/>
          <w:sz w:val="22"/>
          <w:szCs w:val="22"/>
        </w:rPr>
        <w:t xml:space="preserve">The two measures, before and after, and who designs them.</w:t>
      </w:r>
    </w:p>
    <w:p>
      <w:pPr>
        <w:pStyle w:val="ListParagraph"/>
        <w:numPr>
          <w:ilvl w:val="0"/>
          <w:numId w:val="3"/>
        </w:numPr>
        <w:spacing w:after="80" w:line="290"/>
      </w:pPr>
      <w:r>
        <w:rPr>
          <w:rFonts w:ascii="Calibri" w:cs="Calibri" w:eastAsia="Calibri" w:hAnsi="Calibri"/>
          <w:color w:val="303636"/>
          <w:sz w:val="22"/>
          <w:szCs w:val="22"/>
        </w:rPr>
        <w:t xml:space="preserve">The pilot start date, the price, and how many pairs each of us can find.</w:t>
      </w:r>
    </w:p>
    <w:p>
      <w:pPr>
        <w:pStyle w:val="ListParagraph"/>
        <w:numPr>
          <w:ilvl w:val="0"/>
          <w:numId w:val="3"/>
        </w:numPr>
        <w:spacing w:after="80" w:line="290"/>
      </w:pPr>
      <w:r>
        <w:rPr>
          <w:rFonts w:ascii="Calibri" w:cs="Calibri" w:eastAsia="Calibri" w:hAnsi="Calibri"/>
          <w:color w:val="303636"/>
          <w:sz w:val="22"/>
          <w:szCs w:val="22"/>
        </w:rPr>
        <w:t xml:space="preserve">The minimum age.</w:t>
      </w:r>
    </w:p>
    <w:p>
      <w:pPr>
        <w:pStyle w:val="ListParagraph"/>
        <w:numPr>
          <w:ilvl w:val="0"/>
          <w:numId w:val="3"/>
        </w:numPr>
        <w:spacing w:after="80" w:line="290"/>
      </w:pPr>
      <w:r>
        <w:rPr>
          <w:rFonts w:ascii="Calibri" w:cs="Calibri" w:eastAsia="Calibri" w:hAnsi="Calibri"/>
          <w:color w:val="303636"/>
          <w:sz w:val="22"/>
          <w:szCs w:val="22"/>
        </w:rPr>
        <w:t xml:space="preserve">The name we test, and the three we test it against.</w:t>
      </w:r>
    </w:p>
    <w:p>
      <w:pPr>
        <w:pStyle w:val="ListParagraph"/>
        <w:numPr>
          <w:ilvl w:val="0"/>
          <w:numId w:val="3"/>
        </w:numPr>
        <w:spacing w:after="80" w:line="290"/>
      </w:pPr>
      <w:r>
        <w:rPr>
          <w:rFonts w:ascii="Calibri" w:cs="Calibri" w:eastAsia="Calibri" w:hAnsi="Calibri"/>
          <w:color w:val="303636"/>
          <w:sz w:val="22"/>
          <w:szCs w:val="22"/>
        </w:rPr>
        <w:t xml:space="preserve">The evidence that turns "not yet" into "build the app."</w:t>
      </w:r>
    </w:p>
    <w:p>
      <w:pPr>
        <w:pStyle w:val="ListParagraph"/>
        <w:numPr>
          <w:ilvl w:val="0"/>
          <w:numId w:val="3"/>
        </w:numPr>
        <w:spacing w:after="80" w:line="290"/>
      </w:pPr>
      <w:r>
        <w:rPr>
          <w:rFonts w:ascii="Calibri" w:cs="Calibri" w:eastAsia="Calibri" w:hAnsi="Calibri"/>
          <w:color w:val="303636"/>
          <w:sz w:val="22"/>
          <w:szCs w:val="22"/>
        </w:rPr>
        <w:t xml:space="preserve">What each of us owns, in writing, by the next meeting.</w:t>
      </w:r>
    </w:p>
    <w:p>
      <w:pPr>
        <w:pStyle w:val="Heading1"/>
        <w:spacing w:after="160" w:before="420"/>
      </w:pPr>
      <w:r>
        <w:rPr>
          <w:rFonts w:ascii="Georgia" w:cs="Georgia" w:eastAsia="Georgia" w:hAnsi="Georgia"/>
          <w:color w:val="B87A5E"/>
          <w:sz w:val="34"/>
          <w:szCs w:val="34"/>
        </w:rPr>
        <w:t xml:space="preserve">Sources</w:t>
      </w:r>
    </w:p>
    <w:p>
      <w:pPr>
        <w:spacing w:after="140" w:line="300"/>
      </w:pPr>
      <w:r>
        <w:rPr>
          <w:rFonts w:ascii="Calibri" w:cs="Calibri" w:eastAsia="Calibri" w:hAnsi="Calibri"/>
          <w:b/>
          <w:bCs/>
          <w:color w:val="303636"/>
          <w:sz w:val="22"/>
          <w:szCs w:val="22"/>
        </w:rPr>
        <w:t xml:space="preserve">Re-checked on 29 September 2026: </w:t>
      </w:r>
      <w:hyperlink w:history="1" r:id="rIdnub6buinambdjqk20hbka">
        <w:r>
          <w:rPr>
            <w:rFonts w:ascii="Calibri" w:cs="Calibri" w:eastAsia="Calibri" w:hAnsi="Calibri"/>
            <w:color w:val="B87A5E"/>
            <w:sz w:val="22"/>
            <w:szCs w:val="22"/>
            <w:u w:val="single"/>
          </w:rPr>
          <w:t xml:space="preserve">AARP, Older Adults are Navigating AI</w:t>
        </w:r>
      </w:hyperlink>
      <w:r>
        <w:rPr>
          <w:rFonts w:ascii="Calibri" w:cs="Calibri" w:eastAsia="Calibri" w:hAnsi="Calibri"/>
          <w:color w:val="303636"/>
          <w:sz w:val="22"/>
          <w:szCs w:val="22"/>
        </w:rPr>
        <w:t xml:space="preserve"> (42 percent beginner); </w:t>
      </w:r>
      <w:hyperlink w:history="1" r:id="rIdn9erouk0qbtuh2uk-u2j0">
        <w:r>
          <w:rPr>
            <w:rFonts w:ascii="Calibri" w:cs="Calibri" w:eastAsia="Calibri" w:hAnsi="Calibri"/>
            <w:color w:val="B87A5E"/>
            <w:sz w:val="22"/>
            <w:szCs w:val="22"/>
            <w:u w:val="single"/>
          </w:rPr>
          <w:t xml:space="preserve">AARP, The Language of Aging</w:t>
        </w:r>
      </w:hyperlink>
      <w:r>
        <w:rPr>
          <w:rFonts w:ascii="Calibri" w:cs="Calibri" w:eastAsia="Calibri" w:hAnsi="Calibri"/>
          <w:color w:val="303636"/>
          <w:sz w:val="22"/>
          <w:szCs w:val="22"/>
        </w:rPr>
        <w:t xml:space="preserve"> (66 percent and 73 percent).</w:t>
      </w:r>
    </w:p>
    <w:p>
      <w:pPr>
        <w:spacing w:after="140" w:line="300"/>
      </w:pPr>
      <w:r>
        <w:rPr>
          <w:rFonts w:ascii="Calibri" w:cs="Calibri" w:eastAsia="Calibri" w:hAnsi="Calibri"/>
          <w:b/>
          <w:bCs/>
          <w:color w:val="303636"/>
          <w:sz w:val="22"/>
          <w:szCs w:val="22"/>
        </w:rPr>
        <w:t xml:space="preserve">From the ElderGPT brief, not independently re-checked here: </w:t>
      </w:r>
      <w:r>
        <w:rPr>
          <w:rFonts w:ascii="Calibri" w:cs="Calibri" w:eastAsia="Calibri" w:hAnsi="Calibri"/>
          <w:color w:val="303636"/>
          <w:sz w:val="22"/>
          <w:szCs w:val="22"/>
        </w:rPr>
        <w:t xml:space="preserve">AARP 2026 technology trends (90 percent smartphone ownership, 30 percent generative AI use); the University of Michigan National Poll on Healthy Aging on AI (92 percent, 46 percent); the U.S. Senate Aging Committee AI report (7.7 billion dollars); competitor pricing pages for Candoo Tech, CareTogether, Lisova and ElliQ; the systematic review of age-friendly mobile design; the voice assistant field study. All cited in full in the brief.</w:t>
      </w:r>
    </w:p>
    <w:p>
      <w:pPr>
        <w:spacing w:after="140" w:line="300"/>
      </w:pPr>
      <w:r>
        <w:rPr>
          <w:rFonts w:ascii="Calibri" w:cs="Calibri" w:eastAsia="Calibri" w:hAnsi="Calibri"/>
          <w:b/>
          <w:bCs/>
          <w:color w:val="303636"/>
          <w:sz w:val="22"/>
          <w:szCs w:val="22"/>
        </w:rPr>
        <w:t xml:space="preserve">Learning research: </w:t>
      </w:r>
      <w:r>
        <w:rPr>
          <w:rFonts w:ascii="Calibri" w:cs="Calibri" w:eastAsia="Calibri" w:hAnsi="Calibri"/>
          <w:color w:val="303636"/>
          <w:sz w:val="22"/>
          <w:szCs w:val="22"/>
        </w:rPr>
        <w:t xml:space="preserve">Guess, Nagler and Tucker, 2019, </w:t>
      </w:r>
      <w:hyperlink w:history="1" r:id="rIduschkyy6cmsvc3cphm41g">
        <w:r>
          <w:rPr>
            <w:rFonts w:ascii="Calibri" w:cs="Calibri" w:eastAsia="Calibri" w:hAnsi="Calibri"/>
            <w:color w:val="B87A5E"/>
            <w:sz w:val="22"/>
            <w:szCs w:val="22"/>
            <w:u w:val="single"/>
          </w:rPr>
          <w:t xml:space="preserve">Less than you think</w:t>
        </w:r>
      </w:hyperlink>
      <w:r>
        <w:rPr>
          <w:rFonts w:ascii="Calibri" w:cs="Calibri" w:eastAsia="Calibri" w:hAnsi="Calibri"/>
          <w:color w:val="303636"/>
          <w:sz w:val="22"/>
          <w:szCs w:val="22"/>
        </w:rPr>
        <w:t xml:space="preserve">. Brashier and Schacter, 2020, </w:t>
      </w:r>
      <w:hyperlink w:history="1" r:id="rIdd0xslsj1wfk63k_k9lb9z">
        <w:r>
          <w:rPr>
            <w:rFonts w:ascii="Calibri" w:cs="Calibri" w:eastAsia="Calibri" w:hAnsi="Calibri"/>
            <w:color w:val="B87A5E"/>
            <w:sz w:val="22"/>
            <w:szCs w:val="22"/>
            <w:u w:val="single"/>
          </w:rPr>
          <w:t xml:space="preserve">Aging in an Era of Fake News</w:t>
        </w:r>
      </w:hyperlink>
      <w:r>
        <w:rPr>
          <w:rFonts w:ascii="Calibri" w:cs="Calibri" w:eastAsia="Calibri" w:hAnsi="Calibri"/>
          <w:color w:val="303636"/>
          <w:sz w:val="22"/>
          <w:szCs w:val="22"/>
        </w:rPr>
        <w:t xml:space="preserve">. Wineburg and McGrew, 2019, </w:t>
      </w:r>
      <w:hyperlink w:history="1" r:id="rId_xyrl2rovf3oooumapgj2">
        <w:r>
          <w:rPr>
            <w:rFonts w:ascii="Calibri" w:cs="Calibri" w:eastAsia="Calibri" w:hAnsi="Calibri"/>
            <w:color w:val="B87A5E"/>
            <w:sz w:val="22"/>
            <w:szCs w:val="22"/>
            <w:u w:val="single"/>
          </w:rPr>
          <w:t xml:space="preserve">Lateral Reading and the Nature of Expertise</w:t>
        </w:r>
      </w:hyperlink>
      <w:r>
        <w:rPr>
          <w:rFonts w:ascii="Calibri" w:cs="Calibri" w:eastAsia="Calibri" w:hAnsi="Calibri"/>
          <w:color w:val="303636"/>
          <w:sz w:val="22"/>
          <w:szCs w:val="22"/>
        </w:rPr>
        <w:t xml:space="preserve">. </w:t>
      </w:r>
      <w:hyperlink w:history="1" r:id="rIdqahosjhvyvlujov-w8ugx">
        <w:r>
          <w:rPr>
            <w:rFonts w:ascii="Calibri" w:cs="Calibri" w:eastAsia="Calibri" w:hAnsi="Calibri"/>
            <w:color w:val="B87A5E"/>
            <w:sz w:val="22"/>
            <w:szCs w:val="22"/>
            <w:u w:val="single"/>
          </w:rPr>
          <w:t xml:space="preserve">Re-examining the Bad News game, 2025</w:t>
        </w:r>
      </w:hyperlink>
      <w:r>
        <w:rPr>
          <w:rFonts w:ascii="Calibri" w:cs="Calibri" w:eastAsia="Calibri" w:hAnsi="Calibri"/>
          <w:color w:val="303636"/>
          <w:sz w:val="22"/>
          <w:szCs w:val="22"/>
        </w:rPr>
        <w:t xml:space="preserve">. Abrami et al. 2015; Lord, Lepper and Preston 1984; Tetlock and Gardner 2015; Willingham 2007, all summarized in the Companion research brief of 6 September 2026.</w:t>
      </w:r>
    </w:p>
    <w:sectPr>
      <w:pgSz w:w="12240" w:h="15840"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03636"/>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ub6buinambdjqk20hbka" Type="http://schemas.openxmlformats.org/officeDocument/2006/relationships/hyperlink" Target="https://www.aarp.org/pri/topics/technology/internet-media-devices/artificial-intelligence-survey/" TargetMode="External"/><Relationship Id="rIdn9erouk0qbtuh2uk-u2j0" Type="http://schemas.openxmlformats.org/officeDocument/2006/relationships/hyperlink" Target="https://www.aarp.org/pri/topics/aging-experience/language-aging/" TargetMode="External"/><Relationship Id="rIduschkyy6cmsvc3cphm41g" Type="http://schemas.openxmlformats.org/officeDocument/2006/relationships/hyperlink" Target="https://www.sciencedaily.com/releases/2019/01/190109142618.htm" TargetMode="External"/><Relationship Id="rIdd0xslsj1wfk63k_k9lb9z" Type="http://schemas.openxmlformats.org/officeDocument/2006/relationships/hyperlink" Target="https://journals.sagepub.com/doi/10.1177/0963721420915872" TargetMode="External"/><Relationship Id="rId_xyrl2rovf3oooumapgj2" Type="http://schemas.openxmlformats.org/officeDocument/2006/relationships/hyperlink" Target="https://stacks.stanford.edu/file/druid:yk133ht8603/Wineburg%20McGrew_Lateral%20Reading%20and%20the%20Nature%20of%20Expertise.pdf" TargetMode="External"/><Relationship Id="rIdqahosjhvyvlujov-w8ugx" Type="http://schemas.openxmlformats.org/officeDocument/2006/relationships/hyperlink" Target="https://pmc.ncbi.nlm.nih.gov/articles/PMC12705795/"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Companion, for everyone at the table</dc:title>
  <dc:creator>Palmer Foote, Intelligence Meridian</dc:creator>
  <cp:lastModifiedBy>Un-named</cp:lastModifiedBy>
  <cp:revision>1</cp:revision>
  <dcterms:created xsi:type="dcterms:W3CDTF">2026-09-29T17:36:54.801Z</dcterms:created>
  <dcterms:modified xsi:type="dcterms:W3CDTF">2026-09-29T17:36:54.814Z</dcterms:modified>
</cp:coreProperties>
</file>

<file path=docProps/custom.xml><?xml version="1.0" encoding="utf-8"?>
<Properties xmlns="http://schemas.openxmlformats.org/officeDocument/2006/custom-properties" xmlns:vt="http://schemas.openxmlformats.org/officeDocument/2006/docPropsVTypes"/>
</file>